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Дополнительное соглашение №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к Договору холодного водоснабжения от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№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 20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года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именуемое в дальнейшем РСО , в лице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с одной стороны, 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именуемое в дальнейшем «Исполнитель», в лице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действующего на основании устава с другой стороны, заключили настоящее дополнительное соглашение к договору холодного водоснабжения от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 №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</w:t>
      </w:r>
      <w:r>
        <w:rPr>
          <w:rFonts w:hAnsi="Times New Roman" w:cs="Times New Roman"/>
          <w:color w:val="000000"/>
          <w:sz w:val="24"/>
          <w:szCs w:val="24"/>
        </w:rPr>
        <w:t xml:space="preserve"> (далее – соглашение) о нижеследующем: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Изложить пункт 21 договора в следующей редакции: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«21. Порядок определения объемов коммунального ресурса, поставляемого по настоящему договору, заключенному в целях предоставления коммунальных услуг и потребляемого при содержании общего имущества в многоквартирных домах исполнителя, устанавливается с учетом пунктов 21, 21(1)</w:t>
      </w:r>
      <w:r>
        <w:rPr>
          <w:rFonts w:hAnsi="Times New Roman" w:cs="Times New Roman"/>
          <w:color w:val="000000"/>
          <w:sz w:val="24"/>
          <w:szCs w:val="24"/>
        </w:rPr>
        <w:t xml:space="preserve"> Правил,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организациями, утвержденных Постановлением Правительства РФ от 14.02.2012 № 124.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Дополнить</w:t>
      </w:r>
      <w:r>
        <w:rPr>
          <w:rFonts w:hAnsi="Times New Roman" w:cs="Times New Roman"/>
          <w:color w:val="000000"/>
          <w:sz w:val="24"/>
          <w:szCs w:val="24"/>
        </w:rPr>
        <w:t> договор пунктами 3.12, 3.13 следующего содержания: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«3.12. РСО обязуется передавать до 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 xml:space="preserve"> числа следующего месяца абоненту показания индивидуальных приборов учета и начисленные объемы потребителям жилых и нежилых помещений дома по форме согласно Приложению № 9. Информацию о показаниях ИПУ, РСО передает любым доступным способом (почтовое отправление, телеграмма, факсограмма, телефонограмма, информационно-телекоммуникационная сеть «Интернет»</w:t>
      </w:r>
      <w:r>
        <w:rPr>
          <w:rFonts w:hAnsi="Times New Roman" w:cs="Times New Roman"/>
          <w:color w:val="000000"/>
          <w:sz w:val="24"/>
          <w:szCs w:val="24"/>
        </w:rPr>
        <w:t> ), позволяющим подтвердить получение такого уведомления Исполнителем»;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«3.13. В случае нарушения РСО, или привлеченным ей лицом, обязательства, установленного в пункте 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 xml:space="preserve"> настоящего договора, Исполнитель освобождается от оплаты счетов за коммунальные ресурсы вплоть до момента исполнения обязанности, указанной в пункте 3.12 настоящего договора».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Утвердить форму приложения </w:t>
      </w:r>
      <w:r>
        <w:rPr>
          <w:rFonts w:hAnsi="Times New Roman" w:cs="Times New Roman"/>
          <w:color w:val="000000"/>
          <w:sz w:val="24"/>
          <w:szCs w:val="24"/>
        </w:rPr>
        <w:t xml:space="preserve">№ 9 «Реестр показаний ИПУ, по потребленному объему ХВС в жилых и нежилых помещениях МКД». Признать приложение № 9 неотъемлемой частью договора от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 № </w:t>
      </w:r>
      <w:r>
        <w:rPr>
          <w:rFonts w:hAnsi="Times New Roman" w:cs="Times New Roman"/>
          <w:color w:val="000000"/>
          <w:sz w:val="24"/>
          <w:szCs w:val="24"/>
        </w:rPr>
        <w:t>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Условия, незатронутые настоящим соглашением, остаются неизменными и стороны подтверждают по ним свои обязательства.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Настоящее соглашение вступает в силу с даты его подписания и действует до истечения срока действия Договора.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Настоящее соглашение составлено в двух экземплярах, по одному для каждой из сторон.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Реквизиты и подписи сторон: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РСО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Адрес: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ИНН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ОГРН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р/с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к/с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БИК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Адрес: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ИНН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ОГРН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р/с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к/с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БИК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/__________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f2421772c5de44f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