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jc w:val="center"/>
        <w:rPr>
          <w:rFonts w:hAnsi="Times New Roman" w:cs="Times New Roman"/>
          <w:color w:val="000000"/>
          <w:sz w:val="24"/>
          <w:szCs w:val="24"/>
        </w:rPr>
      </w:pPr>
      <w:r>
        <w:rPr>
          <w:rFonts w:hAnsi="Times New Roman" w:cs="Times New Roman"/>
          <w:b/>
          <w:bCs/>
          <w:color w:val="000000"/>
          <w:sz w:val="24"/>
          <w:szCs w:val="24"/>
        </w:rPr>
        <w:t>ОТЧЕТ О ДЕЯТЕЛЬНОСТИ ПО УПРАВЛЕНИЮ МНОГОКВАРТИРНЫМ ДОМОМ</w:t>
      </w:r>
    </w:p>
    <w:p>
      <w:pPr>
        <w:spacing w:line="240" w:lineRule="auto"/>
        <w:jc w:val="center"/>
        <w:rPr>
          <w:rFonts w:hAnsi="Times New Roman" w:cs="Times New Roman"/>
          <w:color w:val="000000"/>
          <w:sz w:val="24"/>
          <w:szCs w:val="24"/>
        </w:rPr>
      </w:pPr>
      <w:r>
        <w:rPr>
          <w:rFonts w:hAnsi="Times New Roman" w:cs="Times New Roman"/>
          <w:b/>
          <w:bCs/>
          <w:color w:val="000000"/>
          <w:sz w:val="24"/>
          <w:szCs w:val="24"/>
        </w:rPr>
        <w:t>за 20</w:t>
      </w:r>
      <w:r>
        <w:rPr>
          <w:rFonts w:hAnsi="Times New Roman" w:cs="Times New Roman"/>
          <w:b/>
          <w:bCs/>
          <w:color w:val="000000"/>
          <w:sz w:val="24"/>
          <w:szCs w:val="24"/>
        </w:rPr>
        <w:t>__</w:t>
      </w:r>
      <w:r>
        <w:rPr>
          <w:rFonts w:hAnsi="Times New Roman" w:cs="Times New Roman"/>
          <w:b/>
          <w:bCs/>
          <w:color w:val="000000"/>
          <w:sz w:val="24"/>
          <w:szCs w:val="24"/>
        </w:rPr>
        <w:t xml:space="preserve"> год</w:t>
      </w:r>
    </w:p>
    <w:tbl>
      <w:tblPr>
        <w:tblW w:w="5000" w:type="pct"/>
        <w:tblCellMar>
          <w:top w:w="15" w:type="dxa"/>
          <w:left w:w="15" w:type="dxa"/>
          <w:bottom w:w="15" w:type="dxa"/>
          <w:right w:w="15" w:type="dxa"/>
        </w:tblCellMar>
        <w:tblLook w:val="0600"/>
      </w:tblPr>
      <w:tblGrid>
        <w:gridCol w:w="1440"/>
        <w:gridCol w:w="1440"/>
      </w:tblGrid>
      <w:tr>
        <w:trPr>
          <w:trHeight w:val="0"/>
        </w:trPr>
        <w:tc>
          <w:tcPr>
            <w:tcW w:w="3701" w:type="dxa"/>
            <w:tcMar>
              <w:top w:w="75" w:type="dxa"/>
              <w:left w:w="75" w:type="dxa"/>
              <w:bottom w:w="75" w:type="dxa"/>
              <w:right w:w="75" w:type="dxa"/>
            </w:tcMar>
            <w:vAlign w:val="bottom"/>
          </w:tcPr>
          <w:p>
            <w:r>
              <w:rPr>
                <w:rFonts w:hAnsi="Times New Roman" w:cs="Times New Roman"/>
                <w:color w:val="000000"/>
                <w:sz w:val="24"/>
                <w:szCs w:val="24"/>
              </w:rPr>
              <w:t>Отчет о деятельности по управлению многоквартирным домом по адресу:</w:t>
            </w:r>
          </w:p>
        </w:tc>
        <w:tc>
          <w:tcPr>
            <w:tcW w:w="0" w:type="auto"/>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r>
      <w:tr>
        <w:trPr>
          <w:trHeight w:val="0"/>
        </w:trPr>
        <w:tc>
          <w:tcPr>
            <w:tcW w:w="3701" w:type="dxa"/>
            <w:tcMar>
              <w:top w:w="75" w:type="dxa"/>
              <w:left w:w="75" w:type="dxa"/>
              <w:bottom w:w="75" w:type="dxa"/>
              <w:right w:w="75" w:type="dxa"/>
            </w:tcMar>
            <w:vAlign w:val="bottom"/>
          </w:tcPr>
          <w:p/>
        </w:tc>
        <w:tc>
          <w:tcPr>
            <w:tcW w:w="0" w:type="auto"/>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r>
      <w:tr>
        <w:trPr>
          <w:trHeight w:val="0"/>
        </w:trPr>
        <w:tc>
          <w:tcPr>
            <w:tcW w:w="3701" w:type="dxa"/>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c>
          <w:tcPr>
            <w:tcW w:w="0" w:type="auto"/>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r>
      <w:tr>
        <w:trPr>
          <w:trHeight w:val="0"/>
        </w:trPr>
        <w:tc>
          <w:tcPr>
            <w:tcW w:w="3701" w:type="dxa"/>
            <w:tcMar>
              <w:top w:w="75" w:type="dxa"/>
              <w:left w:w="75" w:type="dxa"/>
              <w:bottom w:w="75" w:type="dxa"/>
              <w:right w:w="75" w:type="dxa"/>
            </w:tcMar>
            <w:vAlign w:val="bottom"/>
          </w:tcPr>
          <w:p>
            <w:r>
              <w:rPr>
                <w:rFonts w:hAnsi="Times New Roman" w:cs="Times New Roman"/>
                <w:color w:val="000000"/>
                <w:sz w:val="24"/>
                <w:szCs w:val="24"/>
              </w:rPr>
              <w:t>Лицо, осуществляющее управление МКД:</w:t>
            </w:r>
          </w:p>
        </w:tc>
        <w:tc>
          <w:tcPr>
            <w:tcW w:w="0" w:type="auto"/>
            <w:tcMar>
              <w:top w:w="75" w:type="dxa"/>
              <w:left w:w="75" w:type="dxa"/>
              <w:bottom w:w="75" w:type="dxa"/>
              <w:right w:w="75" w:type="dxa"/>
            </w:tcMar>
            <w:vAlign w:val="bottom"/>
          </w:tcPr>
          <w:p/>
        </w:tc>
      </w:tr>
      <w:tr>
        <w:trPr>
          <w:trHeight w:val="0"/>
        </w:trPr>
        <w:tc>
          <w:tcPr>
            <w:tcW w:w="3701" w:type="dxa"/>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c>
          <w:tcPr>
            <w:tcW w:w="0" w:type="auto"/>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r>
      <w:tr>
        <w:trPr>
          <w:trHeight w:val="0"/>
        </w:trPr>
        <w:tc>
          <w:tcPr>
            <w:tcW w:w="3701" w:type="dxa"/>
            <w:tcMar>
              <w:top w:w="75" w:type="dxa"/>
              <w:left w:w="75" w:type="dxa"/>
              <w:bottom w:w="75" w:type="dxa"/>
              <w:right w:w="75" w:type="dxa"/>
            </w:tcMar>
            <w:vAlign w:val="bottom"/>
          </w:tcPr>
          <w:p>
            <w:r>
              <w:rPr>
                <w:rFonts w:hAnsi="Times New Roman" w:cs="Times New Roman"/>
                <w:color w:val="000000"/>
                <w:sz w:val="24"/>
                <w:szCs w:val="24"/>
              </w:rPr>
              <w:t>Адрес места приема населения по вопросам отчета:</w:t>
            </w:r>
          </w:p>
        </w:tc>
        <w:tc>
          <w:tcPr>
            <w:tcW w:w="0" w:type="auto"/>
            <w:tcMar>
              <w:top w:w="75" w:type="dxa"/>
              <w:left w:w="75" w:type="dxa"/>
              <w:bottom w:w="75" w:type="dxa"/>
              <w:right w:w="75" w:type="dxa"/>
            </w:tcMar>
            <w:vAlign w:val="bottom"/>
          </w:tcPr>
          <w:p/>
        </w:tc>
      </w:tr>
      <w:tr>
        <w:trPr>
          <w:trHeight w:val="0"/>
        </w:trPr>
        <w:tc>
          <w:tcPr>
            <w:tcW w:w="3701" w:type="dxa"/>
            <w:tcMar>
              <w:top w:w="75" w:type="dxa"/>
              <w:left w:w="75" w:type="dxa"/>
              <w:bottom w:w="75" w:type="dxa"/>
              <w:right w:w="75" w:type="dxa"/>
            </w:tcMar>
            <w:vAlign w:val="bottom"/>
          </w:tcPr>
          <w:p>
            <w:r>
              <w:rPr>
                <w:rFonts w:hAnsi="Times New Roman" w:cs="Times New Roman"/>
                <w:color w:val="000000"/>
                <w:sz w:val="24"/>
                <w:szCs w:val="24"/>
              </w:rPr>
              <w:t>ОГРН/ИНН:</w:t>
            </w:r>
          </w:p>
        </w:tc>
        <w:tc>
          <w:tcPr>
            <w:tcW w:w="0" w:type="auto"/>
            <w:tcMar>
              <w:top w:w="75" w:type="dxa"/>
              <w:left w:w="75" w:type="dxa"/>
              <w:bottom w:w="75" w:type="dxa"/>
              <w:right w:w="75" w:type="dxa"/>
            </w:tcMar>
            <w:vAlign w:val="bottom"/>
          </w:tcPr>
          <w:p/>
        </w:tc>
      </w:tr>
      <w:tr>
        <w:trPr>
          <w:trHeight w:val="0"/>
        </w:trPr>
        <w:tc>
          <w:tcPr>
            <w:tcW w:w="3701" w:type="dxa"/>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c>
          <w:tcPr>
            <w:tcW w:w="0" w:type="auto"/>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r>
      <w:tr>
        <w:trPr>
          <w:trHeight w:val="0"/>
        </w:trPr>
        <w:tc>
          <w:tcPr>
            <w:tcW w:w="0" w:type="auto"/>
            <w:gridSpan w:val="2"/>
            <w:tcMar>
              <w:top w:w="75" w:type="dxa"/>
              <w:left w:w="75" w:type="dxa"/>
              <w:bottom w:w="75" w:type="dxa"/>
              <w:right w:w="75" w:type="dxa"/>
            </w:tcMar>
            <w:vAlign w:val="bottom"/>
          </w:tcPr>
          <w:p>
            <w:r>
              <w:rPr>
                <w:rFonts w:hAnsi="Times New Roman" w:cs="Times New Roman"/>
                <w:color w:val="000000"/>
                <w:sz w:val="24"/>
                <w:szCs w:val="24"/>
              </w:rPr>
              <w:t>Лицо, уполномоченное давать разъяснения по отчету:</w:t>
            </w:r>
          </w:p>
        </w:tc>
      </w:tr>
      <w:tr>
        <w:trPr>
          <w:trHeight w:val="0"/>
        </w:trPr>
        <w:tc>
          <w:tcPr>
            <w:tcW w:w="3701" w:type="dxa"/>
            <w:tcMar>
              <w:top w:w="75" w:type="dxa"/>
              <w:left w:w="75" w:type="dxa"/>
              <w:bottom w:w="75" w:type="dxa"/>
              <w:right w:w="75" w:type="dxa"/>
            </w:tcMar>
            <w:vAlign w:val="bottom"/>
          </w:tcPr>
          <w:p>
            <w:r>
              <w:rPr>
                <w:rFonts w:hAnsi="Times New Roman" w:cs="Times New Roman"/>
                <w:color w:val="000000"/>
                <w:sz w:val="24"/>
                <w:szCs w:val="24"/>
              </w:rPr>
              <w:t>ФИО:</w:t>
            </w:r>
          </w:p>
        </w:tc>
        <w:tc>
          <w:tcPr>
            <w:tcW w:w="0" w:type="auto"/>
            <w:tcMar>
              <w:top w:w="75" w:type="dxa"/>
              <w:left w:w="75" w:type="dxa"/>
              <w:bottom w:w="75" w:type="dxa"/>
              <w:right w:w="75" w:type="dxa"/>
            </w:tcMar>
            <w:vAlign w:val="bottom"/>
          </w:tcPr>
          <w:p/>
        </w:tc>
      </w:tr>
      <w:tr>
        <w:trPr>
          <w:trHeight w:val="0"/>
        </w:trPr>
        <w:tc>
          <w:tcPr>
            <w:tcW w:w="3701" w:type="dxa"/>
            <w:tcMar>
              <w:top w:w="75" w:type="dxa"/>
              <w:left w:w="75" w:type="dxa"/>
              <w:bottom w:w="75" w:type="dxa"/>
              <w:right w:w="75" w:type="dxa"/>
            </w:tcMar>
            <w:vAlign w:val="bottom"/>
          </w:tcPr>
          <w:p>
            <w:r>
              <w:rPr>
                <w:rFonts w:hAnsi="Times New Roman" w:cs="Times New Roman"/>
                <w:color w:val="000000"/>
                <w:sz w:val="24"/>
                <w:szCs w:val="24"/>
              </w:rPr>
              <w:t>Должность:</w:t>
            </w:r>
          </w:p>
        </w:tc>
        <w:tc>
          <w:tcPr>
            <w:tcW w:w="0" w:type="auto"/>
            <w:tcMar>
              <w:top w:w="75" w:type="dxa"/>
              <w:left w:w="75" w:type="dxa"/>
              <w:bottom w:w="75" w:type="dxa"/>
              <w:right w:w="75" w:type="dxa"/>
            </w:tcMar>
            <w:vAlign w:val="bottom"/>
          </w:tcPr>
          <w:p/>
        </w:tc>
      </w:tr>
      <w:tr>
        <w:trPr>
          <w:trHeight w:val="0"/>
        </w:trPr>
        <w:tc>
          <w:tcPr>
            <w:tcW w:w="3701" w:type="dxa"/>
            <w:tcMar>
              <w:top w:w="75" w:type="dxa"/>
              <w:left w:w="75" w:type="dxa"/>
              <w:bottom w:w="75" w:type="dxa"/>
              <w:right w:w="75" w:type="dxa"/>
            </w:tcMar>
            <w:vAlign w:val="bottom"/>
          </w:tcPr>
          <w:p>
            <w:r>
              <w:rPr>
                <w:rFonts w:hAnsi="Times New Roman" w:cs="Times New Roman"/>
                <w:color w:val="000000"/>
                <w:sz w:val="24"/>
                <w:szCs w:val="24"/>
              </w:rPr>
              <w:t>Телефон:</w:t>
            </w:r>
          </w:p>
        </w:tc>
        <w:tc>
          <w:tcPr>
            <w:tcW w:w="0" w:type="auto"/>
            <w:tcMar>
              <w:top w:w="75" w:type="dxa"/>
              <w:left w:w="75" w:type="dxa"/>
              <w:bottom w:w="75" w:type="dxa"/>
              <w:right w:w="75" w:type="dxa"/>
            </w:tcMar>
            <w:vAlign w:val="bottom"/>
          </w:tcPr>
          <w:p/>
        </w:tc>
      </w:tr>
      <w:tr>
        <w:trPr>
          <w:trHeight w:val="0"/>
        </w:trPr>
        <w:tc>
          <w:tcPr>
            <w:tcW w:w="3701" w:type="dxa"/>
            <w:tcMar>
              <w:top w:w="75" w:type="dxa"/>
              <w:left w:w="75" w:type="dxa"/>
              <w:bottom w:w="75" w:type="dxa"/>
              <w:right w:w="75" w:type="dxa"/>
            </w:tcMar>
            <w:vAlign w:val="bottom"/>
          </w:tcPr>
          <w:p>
            <w:r>
              <w:rPr>
                <w:rFonts w:hAnsi="Times New Roman" w:cs="Times New Roman"/>
                <w:color w:val="000000"/>
                <w:sz w:val="24"/>
                <w:szCs w:val="24"/>
              </w:rPr>
              <w:t>Email:</w:t>
            </w:r>
          </w:p>
        </w:tc>
        <w:tc>
          <w:tcPr>
            <w:tcW w:w="0" w:type="auto"/>
            <w:tcMar>
              <w:top w:w="75" w:type="dxa"/>
              <w:left w:w="75" w:type="dxa"/>
              <w:bottom w:w="75" w:type="dxa"/>
              <w:right w:w="75" w:type="dxa"/>
            </w:tcMar>
            <w:vAlign w:val="bottom"/>
          </w:tcPr>
          <w:p/>
        </w:tc>
      </w:tr>
      <w:tr>
        <w:trPr>
          <w:trHeight w:val="0"/>
        </w:trPr>
        <w:tc>
          <w:tcPr>
            <w:tcW w:w="3701" w:type="dxa"/>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c>
          <w:tcPr>
            <w:tcW w:w="0" w:type="auto"/>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r>
      <w:tr>
        <w:trPr>
          <w:trHeight w:val="0"/>
        </w:trPr>
        <w:tc>
          <w:tcPr>
            <w:tcW w:w="3701" w:type="dxa"/>
            <w:tcMar>
              <w:top w:w="75" w:type="dxa"/>
              <w:left w:w="75" w:type="dxa"/>
              <w:bottom w:w="75" w:type="dxa"/>
              <w:right w:w="75" w:type="dxa"/>
            </w:tcMar>
            <w:vAlign w:val="bottom"/>
          </w:tcPr>
          <w:p>
            <w:r>
              <w:rPr>
                <w:rFonts w:hAnsi="Times New Roman" w:cs="Times New Roman"/>
                <w:color w:val="000000"/>
                <w:sz w:val="24"/>
                <w:szCs w:val="24"/>
              </w:rPr>
              <w:t>Общая площадь жилых и нежилых помещений в многоквартирном доме (без учета помещений, входящих в состав общего имущества многоквартирного дома) (м⊃;):</w:t>
            </w:r>
          </w:p>
        </w:tc>
        <w:tc>
          <w:tcPr>
            <w:tcW w:w="0" w:type="auto"/>
            <w:tcMar>
              <w:top w:w="75" w:type="dxa"/>
              <w:left w:w="75" w:type="dxa"/>
              <w:bottom w:w="75" w:type="dxa"/>
              <w:right w:w="75" w:type="dxa"/>
            </w:tcMar>
            <w:vAlign w:val="bottom"/>
          </w:tcPr>
          <w:p/>
        </w:tc>
      </w:tr>
      <w:tr>
        <w:trPr>
          <w:trHeight w:val="0"/>
        </w:trPr>
        <w:tc>
          <w:tcPr>
            <w:tcW w:w="3701" w:type="dxa"/>
            <w:tcMar>
              <w:top w:w="75" w:type="dxa"/>
              <w:left w:w="75" w:type="dxa"/>
              <w:bottom w:w="75" w:type="dxa"/>
              <w:right w:w="75" w:type="dxa"/>
            </w:tcMar>
            <w:vAlign w:val="bottom"/>
          </w:tcPr>
          <w:p>
            <w:r>
              <w:rPr>
                <w:rFonts w:hAnsi="Times New Roman" w:cs="Times New Roman"/>
                <w:color w:val="000000"/>
                <w:sz w:val="24"/>
                <w:szCs w:val="24"/>
              </w:rPr>
              <w:t>Дата размещения отчета:</w:t>
            </w:r>
          </w:p>
        </w:tc>
        <w:tc>
          <w:tcPr>
            <w:tcW w:w="0" w:type="auto"/>
            <w:tcMar>
              <w:top w:w="75" w:type="dxa"/>
              <w:left w:w="75" w:type="dxa"/>
              <w:bottom w:w="75" w:type="dxa"/>
              <w:right w:w="75" w:type="dxa"/>
            </w:tcMar>
            <w:vAlign w:val="bottom"/>
          </w:tcPr>
          <w:p/>
        </w:tc>
      </w:tr>
    </w:tbl>
    <w:p>
      <w:pPr>
        <w:spacing w:line="240" w:lineRule="auto"/>
        <w:rPr>
          <w:rFonts w:hAnsi="Times New Roman" w:cs="Times New Roman"/>
          <w:color w:val="000000"/>
          <w:sz w:val="24"/>
          <w:szCs w:val="24"/>
        </w:rPr>
      </w:pPr>
      <w:r>
        <w:rPr>
          <w:rFonts w:hAnsi="Times New Roman" w:cs="Times New Roman"/>
          <w:b/>
          <w:bCs/>
          <w:color w:val="000000"/>
          <w:sz w:val="24"/>
          <w:szCs w:val="24"/>
        </w:rPr>
        <w:t>РАЗДЕЛ 1. Работы и услуги по содержанию общего имущества</w:t>
      </w:r>
    </w:p>
    <w:tbl>
      <w:tblPr>
        <w:tblW w:w="5000" w:type="pct"/>
        <w:tblCellMar>
          <w:top w:w="15" w:type="dxa"/>
          <w:left w:w="15" w:type="dxa"/>
          <w:bottom w:w="15" w:type="dxa"/>
          <w:right w:w="15" w:type="dxa"/>
        </w:tblCellMar>
        <w:tblLook w:val="0600"/>
      </w:tblPr>
      <w:tblGrid>
        <w:gridCol w:w="1440"/>
        <w:gridCol w:w="1440"/>
        <w:gridCol w:w="1440"/>
        <w:gridCol w:w="1440"/>
        <w:gridCol w:w="1440"/>
        <w:gridCol w:w="1440"/>
        <w:gridCol w:w="1440"/>
        <w:gridCol w:w="1440"/>
      </w:tblGrid>
      <w:tr>
        <w:trPr>
          <w:trHeight w:val="0"/>
        </w:trPr>
        <w:tc>
          <w:tcPr>
            <w:tcW w:w="541" w:type="dxa"/>
            <w:vMerge w:val="restart"/>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п/п</w:t>
            </w:r>
          </w:p>
        </w:tc>
        <w:tc>
          <w:tcPr>
            <w:tcW w:w="1805" w:type="dxa"/>
            <w:vMerge w:val="restart"/>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Наименование работы (услуги)</w:t>
            </w:r>
          </w:p>
        </w:tc>
        <w:tc>
          <w:tcPr>
            <w:tcW w:w="902" w:type="dxa"/>
            <w:vMerge w:val="restart"/>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Ед. изм.</w:t>
            </w:r>
          </w:p>
        </w:tc>
        <w:tc>
          <w:tcPr>
            <w:tcW w:w="902" w:type="dxa"/>
            <w:vMerge w:val="restart"/>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Цена за ед., руб.</w:t>
            </w:r>
          </w:p>
        </w:tc>
        <w:tc>
          <w:tcPr>
            <w:tcW w:w="0" w:type="auto"/>
            <w:gridSpan w:val="2"/>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По перечню работ (услуг)</w:t>
            </w:r>
          </w:p>
        </w:tc>
        <w:tc>
          <w:tcPr>
            <w:tcW w:w="2888" w:type="dxa"/>
            <w:gridSpan w:val="2"/>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Выполнено</w:t>
            </w:r>
          </w:p>
        </w:tc>
      </w:tr>
      <w:tr>
        <w:trPr>
          <w:trHeight w:val="0"/>
        </w:trPr>
        <w:tc>
          <w:tcPr>
            <w:tcW w:w="541" w:type="dxa"/>
            <w:vMerge/>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c>
          <w:tcPr>
            <w:tcW w:w="1805" w:type="dxa"/>
            <w:vMerge/>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c>
          <w:tcPr>
            <w:tcW w:w="902" w:type="dxa"/>
            <w:vMerge/>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c>
          <w:tcPr>
            <w:tcW w:w="902" w:type="dxa"/>
            <w:vMerge/>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c>
          <w:tcPr>
            <w:tcW w:w="72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Количество единиц работы (оказанной услуги)</w:t>
            </w:r>
          </w:p>
        </w:tc>
        <w:tc>
          <w:tcPr>
            <w:tcW w:w="126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Стоимость работы (оказанной услуги), руб. (произведение граф 4 и 5)</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Количество единиц работы (оказанной услуги)</w:t>
            </w:r>
          </w:p>
        </w:tc>
        <w:tc>
          <w:tcPr>
            <w:tcW w:w="1624"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Стоимость работы (оказанной услуги), руб. (произведение граф 4 и 7)</w:t>
            </w:r>
          </w:p>
        </w:tc>
      </w:tr>
      <w:tr>
        <w:trPr>
          <w:trHeight w:val="0"/>
        </w:trPr>
        <w:tc>
          <w:tcPr>
            <w:tcW w:w="541"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1</w:t>
            </w:r>
          </w:p>
        </w:tc>
        <w:tc>
          <w:tcPr>
            <w:tcW w:w="180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2</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3</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4</w:t>
            </w:r>
          </w:p>
        </w:tc>
        <w:tc>
          <w:tcPr>
            <w:tcW w:w="72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5</w:t>
            </w:r>
          </w:p>
        </w:tc>
        <w:tc>
          <w:tcPr>
            <w:tcW w:w="126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6</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7</w:t>
            </w:r>
          </w:p>
        </w:tc>
        <w:tc>
          <w:tcPr>
            <w:tcW w:w="1624"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8</w:t>
            </w:r>
          </w:p>
        </w:tc>
      </w:tr>
      <w:tr>
        <w:trPr>
          <w:trHeight w:val="0"/>
        </w:trPr>
        <w:tc>
          <w:tcPr>
            <w:tcW w:w="541"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1</w:t>
            </w:r>
          </w:p>
        </w:tc>
        <w:tc>
          <w:tcPr>
            <w:tcW w:w="180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Содержание общего имущества МКД</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м</w:t>
            </w:r>
            <w:r>
              <w:rPr>
                <w:rFonts w:hAnsi="Times New Roman" w:cs="Times New Roman"/>
                <w:color w:val="000000"/>
                <w:sz w:val="19"/>
                <w:szCs w:val="19"/>
                <w:vertAlign w:val="superscript"/>
              </w:rPr>
              <w:t>2</w:t>
            </w:r>
            <w:r>
              <w:rPr>
                <w:rFonts w:hAnsi="Times New Roman" w:cs="Times New Roman"/>
                <w:color w:val="000000"/>
                <w:sz w:val="24"/>
                <w:szCs w:val="24"/>
              </w:rPr>
              <w:t>;</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72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126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1624"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r>
      <w:tr>
        <w:trPr>
          <w:trHeight w:val="0"/>
        </w:trPr>
        <w:tc>
          <w:tcPr>
            <w:tcW w:w="541"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2</w:t>
            </w:r>
          </w:p>
        </w:tc>
        <w:tc>
          <w:tcPr>
            <w:tcW w:w="180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Содержание крыши и кровельных конструкций</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м</w:t>
            </w:r>
            <w:r>
              <w:rPr>
                <w:rFonts w:hAnsi="Times New Roman" w:cs="Times New Roman"/>
                <w:color w:val="000000"/>
                <w:sz w:val="19"/>
                <w:szCs w:val="19"/>
                <w:vertAlign w:val="superscript"/>
              </w:rPr>
              <w:t>2</w:t>
            </w:r>
            <w:r>
              <w:rPr>
                <w:rFonts w:hAnsi="Times New Roman" w:cs="Times New Roman"/>
                <w:color w:val="000000"/>
                <w:sz w:val="24"/>
                <w:szCs w:val="24"/>
              </w:rPr>
              <w:t>;</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72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126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1624"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r>
      <w:tr>
        <w:trPr>
          <w:trHeight w:val="0"/>
        </w:trPr>
        <w:tc>
          <w:tcPr>
            <w:tcW w:w="541"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3</w:t>
            </w:r>
          </w:p>
        </w:tc>
        <w:tc>
          <w:tcPr>
            <w:tcW w:w="180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Содержание фундамента, стен, перекрытий</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м</w:t>
            </w:r>
            <w:r>
              <w:rPr>
                <w:rFonts w:hAnsi="Times New Roman" w:cs="Times New Roman"/>
                <w:color w:val="000000"/>
                <w:sz w:val="19"/>
                <w:szCs w:val="19"/>
                <w:vertAlign w:val="superscript"/>
              </w:rPr>
              <w:t>2</w:t>
            </w:r>
            <w:r>
              <w:rPr>
                <w:rFonts w:hAnsi="Times New Roman" w:cs="Times New Roman"/>
                <w:color w:val="000000"/>
                <w:sz w:val="24"/>
                <w:szCs w:val="24"/>
              </w:rPr>
              <w:t>;</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72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126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1624"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r>
      <w:tr>
        <w:trPr>
          <w:trHeight w:val="0"/>
        </w:trPr>
        <w:tc>
          <w:tcPr>
            <w:tcW w:w="541"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4</w:t>
            </w:r>
          </w:p>
        </w:tc>
        <w:tc>
          <w:tcPr>
            <w:tcW w:w="180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Содержание окон, дверей, входных конструкций</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шт.</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72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126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1624"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r>
      <w:tr>
        <w:trPr>
          <w:trHeight w:val="0"/>
        </w:trPr>
        <w:tc>
          <w:tcPr>
            <w:tcW w:w="541"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5</w:t>
            </w:r>
          </w:p>
        </w:tc>
        <w:tc>
          <w:tcPr>
            <w:tcW w:w="180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Содержание и текущий ремонт инженерных систем</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м</w:t>
            </w:r>
            <w:r>
              <w:rPr>
                <w:rFonts w:hAnsi="Times New Roman" w:cs="Times New Roman"/>
                <w:color w:val="000000"/>
                <w:sz w:val="19"/>
                <w:szCs w:val="19"/>
                <w:vertAlign w:val="superscript"/>
              </w:rPr>
              <w:t>2</w:t>
            </w:r>
            <w:r>
              <w:rPr>
                <w:rFonts w:hAnsi="Times New Roman" w:cs="Times New Roman"/>
                <w:color w:val="000000"/>
                <w:sz w:val="24"/>
                <w:szCs w:val="24"/>
              </w:rPr>
              <w:t>;</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72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126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1624"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r>
      <w:tr>
        <w:trPr>
          <w:trHeight w:val="0"/>
        </w:trPr>
        <w:tc>
          <w:tcPr>
            <w:tcW w:w="541"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6</w:t>
            </w:r>
          </w:p>
        </w:tc>
        <w:tc>
          <w:tcPr>
            <w:tcW w:w="180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Уборка и содержание мест общего пользования</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м</w:t>
            </w:r>
            <w:r>
              <w:rPr>
                <w:rFonts w:hAnsi="Times New Roman" w:cs="Times New Roman"/>
                <w:color w:val="000000"/>
                <w:sz w:val="19"/>
                <w:szCs w:val="19"/>
                <w:vertAlign w:val="superscript"/>
              </w:rPr>
              <w:t>2</w:t>
            </w:r>
            <w:r>
              <w:rPr>
                <w:rFonts w:hAnsi="Times New Roman" w:cs="Times New Roman"/>
                <w:color w:val="000000"/>
                <w:sz w:val="24"/>
                <w:szCs w:val="24"/>
              </w:rPr>
              <w:t>;</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72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126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1624"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r>
      <w:tr>
        <w:trPr>
          <w:trHeight w:val="0"/>
        </w:trPr>
        <w:tc>
          <w:tcPr>
            <w:tcW w:w="541"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7</w:t>
            </w:r>
          </w:p>
        </w:tc>
        <w:tc>
          <w:tcPr>
            <w:tcW w:w="1805"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Содержание придомовой территории</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м</w:t>
            </w:r>
            <w:r>
              <w:rPr>
                <w:rFonts w:hAnsi="Times New Roman" w:cs="Times New Roman"/>
                <w:color w:val="000000"/>
                <w:sz w:val="19"/>
                <w:szCs w:val="19"/>
                <w:vertAlign w:val="superscript"/>
              </w:rPr>
              <w:t>2</w:t>
            </w:r>
            <w:r>
              <w:rPr>
                <w:rFonts w:hAnsi="Times New Roman" w:cs="Times New Roman"/>
                <w:color w:val="000000"/>
                <w:sz w:val="24"/>
                <w:szCs w:val="24"/>
              </w:rPr>
              <w:t>;</w:t>
            </w: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72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126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1624"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r>
      <w:tr>
        <w:trPr>
          <w:trHeight w:val="0"/>
        </w:trPr>
        <w:tc>
          <w:tcPr>
            <w:tcW w:w="5235" w:type="dxa"/>
            <w:gridSpan w:val="4"/>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b/>
                <w:bCs/>
                <w:color w:val="000000"/>
                <w:sz w:val="24"/>
                <w:szCs w:val="24"/>
              </w:rPr>
              <w:t>ИТОГО</w:t>
            </w:r>
          </w:p>
        </w:tc>
        <w:tc>
          <w:tcPr>
            <w:tcW w:w="72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c>
          <w:tcPr>
            <w:tcW w:w="126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c>
          <w:tcPr>
            <w:tcW w:w="902"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c>
          <w:tcPr>
            <w:tcW w:w="1624"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tc>
      </w:tr>
    </w:tbl>
    <w:p>
      <w:pPr>
        <w:spacing w:line="240" w:lineRule="auto"/>
        <w:rPr>
          <w:rFonts w:hAnsi="Times New Roman" w:cs="Times New Roman"/>
          <w:color w:val="000000"/>
          <w:sz w:val="24"/>
          <w:szCs w:val="24"/>
        </w:rPr>
      </w:pPr>
      <w:r>
        <w:rPr>
          <w:rFonts w:hAnsi="Times New Roman" w:cs="Times New Roman"/>
          <w:b/>
          <w:bCs/>
          <w:color w:val="000000"/>
          <w:sz w:val="24"/>
          <w:szCs w:val="24"/>
        </w:rPr>
        <w:t>РАЗДЕЛ 2. Работы по текущему ремонту общего имущества</w:t>
      </w:r>
    </w:p>
    <w:p>
      <w:pPr>
        <w:spacing w:line="240" w:lineRule="auto"/>
        <w:rPr>
          <w:rFonts w:hAnsi="Times New Roman" w:cs="Times New Roman"/>
          <w:color w:val="000000"/>
          <w:sz w:val="24"/>
          <w:szCs w:val="24"/>
        </w:rPr>
      </w:pPr>
      <w:r>
        <w:rPr>
          <w:rFonts w:hAnsi="Times New Roman" w:cs="Times New Roman"/>
          <w:color w:val="000000"/>
          <w:sz w:val="24"/>
          <w:szCs w:val="24"/>
        </w:rPr>
        <w:t xml:space="preserve">Остаток (перерасход (сальдо) денежных средств на финансирование текущего ремонта на 1 января 2025 года: </w:t>
      </w:r>
      <w:r>
        <w:rPr>
          <w:rFonts w:hAnsi="Times New Roman" w:cs="Times New Roman"/>
          <w:color w:val="000000"/>
          <w:sz w:val="24"/>
          <w:szCs w:val="24"/>
        </w:rPr>
        <w:t>_______</w:t>
      </w:r>
    </w:p>
    <w:p>
      <w:pPr>
        <w:spacing w:line="240" w:lineRule="auto"/>
        <w:rPr>
          <w:rFonts w:hAnsi="Times New Roman" w:cs="Times New Roman"/>
          <w:color w:val="000000"/>
          <w:sz w:val="24"/>
          <w:szCs w:val="24"/>
        </w:rPr>
      </w:pPr>
      <w:r>
        <w:rPr>
          <w:rFonts w:hAnsi="Times New Roman" w:cs="Times New Roman"/>
          <w:color w:val="000000"/>
          <w:sz w:val="24"/>
          <w:szCs w:val="24"/>
        </w:rPr>
        <w:t xml:space="preserve">Общий объем денежных средств, подлежащий внесению собственниками помещений в многоквартирном доме в качестве платы за текущий ремонт общего имущества многоквартирного дома в составе платы за содержание жилого помещения, за отчетный период: </w:t>
      </w:r>
      <w:r>
        <w:rPr>
          <w:rFonts w:hAnsi="Times New Roman" w:cs="Times New Roman"/>
          <w:color w:val="000000"/>
          <w:sz w:val="24"/>
          <w:szCs w:val="24"/>
        </w:rPr>
        <w:t>______</w:t>
      </w:r>
    </w:p>
    <w:p>
      <w:pPr>
        <w:spacing w:line="240" w:lineRule="auto"/>
        <w:rPr>
          <w:rFonts w:hAnsi="Times New Roman" w:cs="Times New Roman"/>
          <w:color w:val="000000"/>
          <w:sz w:val="24"/>
          <w:szCs w:val="24"/>
        </w:rPr>
      </w:pPr>
      <w:r>
        <w:rPr>
          <w:rFonts w:hAnsi="Times New Roman" w:cs="Times New Roman"/>
          <w:color w:val="000000"/>
          <w:sz w:val="24"/>
          <w:szCs w:val="24"/>
        </w:rPr>
        <w:t xml:space="preserve">Стоимость работ по текущему ремонту, выполненных за отчетный период: </w:t>
      </w:r>
      <w:r>
        <w:rPr>
          <w:rFonts w:hAnsi="Times New Roman" w:cs="Times New Roman"/>
          <w:color w:val="000000"/>
          <w:sz w:val="24"/>
          <w:szCs w:val="24"/>
        </w:rPr>
        <w:t>______</w:t>
      </w:r>
    </w:p>
    <w:p>
      <w:pPr>
        <w:spacing w:line="240" w:lineRule="auto"/>
        <w:rPr>
          <w:rFonts w:hAnsi="Times New Roman" w:cs="Times New Roman"/>
          <w:color w:val="000000"/>
          <w:sz w:val="24"/>
          <w:szCs w:val="24"/>
        </w:rPr>
      </w:pPr>
      <w:r>
        <w:rPr>
          <w:rFonts w:hAnsi="Times New Roman" w:cs="Times New Roman"/>
          <w:color w:val="000000"/>
          <w:sz w:val="24"/>
          <w:szCs w:val="24"/>
        </w:rPr>
        <w:t xml:space="preserve">Остаток (перерасход (сальдо) денежных средств на финансирование текущего ремонта на 31 декабря отчетного периода: </w:t>
      </w:r>
      <w:r>
        <w:rPr>
          <w:rFonts w:hAnsi="Times New Roman" w:cs="Times New Roman"/>
          <w:color w:val="000000"/>
          <w:sz w:val="24"/>
          <w:szCs w:val="24"/>
        </w:rPr>
        <w:t>_____</w:t>
      </w:r>
    </w:p>
    <w:tbl>
      <w:tblPr>
        <w:tblW w:w="5000" w:type="pct"/>
        <w:tblCellMar>
          <w:top w:w="15" w:type="dxa"/>
          <w:left w:w="15" w:type="dxa"/>
          <w:bottom w:w="15" w:type="dxa"/>
          <w:right w:w="15" w:type="dxa"/>
        </w:tblCellMar>
        <w:tblLook w:val="0600"/>
      </w:tblPr>
      <w:tblGrid>
        <w:gridCol w:w="1440"/>
        <w:gridCol w:w="1440"/>
        <w:gridCol w:w="1440"/>
        <w:gridCol w:w="1440"/>
        <w:gridCol w:w="1440"/>
        <w:gridCol w:w="1440"/>
      </w:tblGrid>
      <w:tr>
        <w:trPr>
          <w:trHeight w:val="0"/>
        </w:trPr>
        <w:tc>
          <w:tcPr>
            <w:tcW w:w="451"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п/п</w:t>
            </w:r>
          </w:p>
        </w:tc>
        <w:tc>
          <w:tcPr>
            <w:tcW w:w="1354" w:type="dxa"/>
            <w:tcBorders>
              <w:top w:val="single" w:color="000000" w:sz="6"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Наименование работы</w:t>
            </w:r>
          </w:p>
        </w:tc>
        <w:tc>
          <w:tcPr>
            <w:tcW w:w="1534" w:type="dxa"/>
            <w:tcBorders>
              <w:top w:val="single" w:color="000000" w:sz="6"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Основание проведения</w:t>
            </w:r>
          </w:p>
        </w:tc>
        <w:tc>
          <w:tcPr>
            <w:tcW w:w="1444" w:type="dxa"/>
            <w:tcBorders>
              <w:top w:val="single" w:color="000000" w:sz="6"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Стоимость работы по текущему ремонту общего имущества, руб.</w:t>
            </w:r>
          </w:p>
        </w:tc>
        <w:tc>
          <w:tcPr>
            <w:tcW w:w="1624" w:type="dxa"/>
            <w:tcBorders>
              <w:top w:val="single" w:color="000000" w:sz="6"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Объем выполненных работ с единицами измерения</w:t>
            </w:r>
          </w:p>
        </w:tc>
        <w:tc>
          <w:tcPr>
            <w:tcW w:w="2256" w:type="dxa"/>
            <w:tcBorders>
              <w:top w:val="single" w:color="000000" w:sz="6"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Реквизиты акта выполненных работ или адрес сайта в информационно-</w:t>
            </w:r>
            <w:r>
              <w:br/>
            </w:r>
            <w:r>
              <w:rPr>
                <w:rFonts w:hAnsi="Times New Roman" w:cs="Times New Roman"/>
                <w:color w:val="000000"/>
                <w:sz w:val="24"/>
                <w:szCs w:val="24"/>
              </w:rPr>
              <w:t>телекоммуникационной сети "Интернет", где размещен такой акт, при наличии подписанного акта</w:t>
            </w:r>
          </w:p>
        </w:tc>
      </w:tr>
      <w:tr>
        <w:trPr>
          <w:trHeight w:val="0"/>
        </w:trPr>
        <w:tc>
          <w:tcPr>
            <w:tcW w:w="0" w:type="auto"/>
            <w:tcBorders>
              <w:top w:val="none" w:color="000000" w:sz="0"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1</w:t>
            </w:r>
          </w:p>
        </w:tc>
        <w:tc>
          <w:tcPr>
            <w:tcW w:w="135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2</w:t>
            </w:r>
          </w:p>
        </w:tc>
        <w:tc>
          <w:tcPr>
            <w:tcW w:w="153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3</w:t>
            </w:r>
          </w:p>
        </w:tc>
        <w:tc>
          <w:tcPr>
            <w:tcW w:w="144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4</w:t>
            </w:r>
          </w:p>
        </w:tc>
        <w:tc>
          <w:tcPr>
            <w:tcW w:w="162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5</w:t>
            </w:r>
          </w:p>
        </w:tc>
        <w:tc>
          <w:tcPr>
            <w:tcW w:w="2256"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6</w:t>
            </w:r>
          </w:p>
        </w:tc>
      </w:tr>
      <w:tr>
        <w:trPr>
          <w:trHeight w:val="0"/>
        </w:trPr>
        <w:tc>
          <w:tcPr>
            <w:tcW w:w="0" w:type="auto"/>
            <w:tcBorders>
              <w:top w:val="none" w:color="000000" w:sz="0"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1</w:t>
            </w:r>
          </w:p>
        </w:tc>
        <w:tc>
          <w:tcPr>
            <w:tcW w:w="135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Замена стояков отопления подъезд № 1</w:t>
            </w:r>
          </w:p>
        </w:tc>
        <w:tc>
          <w:tcPr>
            <w:tcW w:w="153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tc>
        <w:tc>
          <w:tcPr>
            <w:tcW w:w="144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tc>
        <w:tc>
          <w:tcPr>
            <w:tcW w:w="162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пог.м</w:t>
            </w:r>
          </w:p>
        </w:tc>
        <w:tc>
          <w:tcPr>
            <w:tcW w:w="2256"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tc>
      </w:tr>
      <w:tr>
        <w:trPr>
          <w:trHeight w:val="0"/>
        </w:trPr>
        <w:tc>
          <w:tcPr>
            <w:tcW w:w="0" w:type="auto"/>
            <w:tcBorders>
              <w:top w:val="none" w:color="000000" w:sz="0"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2</w:t>
            </w:r>
          </w:p>
        </w:tc>
        <w:tc>
          <w:tcPr>
            <w:tcW w:w="135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Ремонт входных дверей в подъездах</w:t>
            </w:r>
          </w:p>
        </w:tc>
        <w:tc>
          <w:tcPr>
            <w:tcW w:w="153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tc>
        <w:tc>
          <w:tcPr>
            <w:tcW w:w="144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tc>
        <w:tc>
          <w:tcPr>
            <w:tcW w:w="162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шт.</w:t>
            </w:r>
          </w:p>
        </w:tc>
        <w:tc>
          <w:tcPr>
            <w:tcW w:w="2256"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tc>
      </w:tr>
      <w:tr>
        <w:trPr>
          <w:trHeight w:val="0"/>
        </w:trPr>
        <w:tc>
          <w:tcPr>
            <w:tcW w:w="0" w:type="auto"/>
            <w:tcBorders>
              <w:top w:val="none" w:color="000000" w:sz="0"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3</w:t>
            </w:r>
          </w:p>
        </w:tc>
        <w:tc>
          <w:tcPr>
            <w:tcW w:w="135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Окраска фасада участка А</w:t>
            </w:r>
          </w:p>
        </w:tc>
        <w:tc>
          <w:tcPr>
            <w:tcW w:w="153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tc>
        <w:tc>
          <w:tcPr>
            <w:tcW w:w="144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tc>
        <w:tc>
          <w:tcPr>
            <w:tcW w:w="162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м</w:t>
            </w:r>
            <w:r>
              <w:rPr>
                <w:rFonts w:hAnsi="Times New Roman" w:cs="Times New Roman"/>
                <w:color w:val="000000"/>
                <w:sz w:val="19"/>
                <w:szCs w:val="19"/>
                <w:vertAlign w:val="superscript"/>
              </w:rPr>
              <w:t>2</w:t>
            </w:r>
            <w:r>
              <w:rPr>
                <w:rFonts w:hAnsi="Times New Roman" w:cs="Times New Roman"/>
                <w:color w:val="000000"/>
                <w:sz w:val="24"/>
                <w:szCs w:val="24"/>
              </w:rPr>
              <w:t>;</w:t>
            </w:r>
          </w:p>
        </w:tc>
        <w:tc>
          <w:tcPr>
            <w:tcW w:w="2256"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tc>
      </w:tr>
      <w:tr>
        <w:trPr>
          <w:trHeight w:val="0"/>
        </w:trPr>
        <w:tc>
          <w:tcPr>
            <w:tcW w:w="0" w:type="auto"/>
            <w:tcBorders>
              <w:top w:val="none" w:color="000000" w:sz="0"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4</w:t>
            </w:r>
          </w:p>
        </w:tc>
        <w:tc>
          <w:tcPr>
            <w:tcW w:w="135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Ремонт кровли над подъездом № 3</w:t>
            </w:r>
          </w:p>
        </w:tc>
        <w:tc>
          <w:tcPr>
            <w:tcW w:w="153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tc>
        <w:tc>
          <w:tcPr>
            <w:tcW w:w="144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tc>
        <w:tc>
          <w:tcPr>
            <w:tcW w:w="162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м</w:t>
            </w:r>
            <w:r>
              <w:rPr>
                <w:rFonts w:hAnsi="Times New Roman" w:cs="Times New Roman"/>
                <w:color w:val="000000"/>
                <w:sz w:val="19"/>
                <w:szCs w:val="19"/>
                <w:vertAlign w:val="superscript"/>
              </w:rPr>
              <w:t>2</w:t>
            </w:r>
            <w:r>
              <w:rPr>
                <w:rFonts w:hAnsi="Times New Roman" w:cs="Times New Roman"/>
                <w:color w:val="000000"/>
                <w:sz w:val="24"/>
                <w:szCs w:val="24"/>
              </w:rPr>
              <w:t>;</w:t>
            </w:r>
          </w:p>
        </w:tc>
        <w:tc>
          <w:tcPr>
            <w:tcW w:w="2256"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tc>
      </w:tr>
      <w:tr>
        <w:trPr>
          <w:trHeight w:val="0"/>
        </w:trPr>
        <w:tc>
          <w:tcPr>
            <w:tcW w:w="0" w:type="auto"/>
            <w:gridSpan w:val="3"/>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b/>
                <w:bCs/>
                <w:color w:val="000000"/>
                <w:sz w:val="24"/>
                <w:szCs w:val="24"/>
              </w:rPr>
              <w:t>ИТОГО</w:t>
            </w:r>
          </w:p>
        </w:tc>
        <w:tc>
          <w:tcPr>
            <w:tcW w:w="144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tc>
        <w:tc>
          <w:tcPr>
            <w:tcW w:w="162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c>
          <w:tcPr>
            <w:tcW w:w="2256"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pPr>
              <w:spacing w:before="100" w:beforeAutospacing="1" w:after="100" w:afterAutospacing="1" w:line="240" w:lineRule="auto"/>
              <w:ind w:left="75" w:right="75"/>
              <w:rPr>
                <w:rFonts w:hAnsi="Times New Roman" w:cs="Times New Roman"/>
                <w:color w:val="000000"/>
                <w:sz w:val="24"/>
                <w:szCs w:val="24"/>
              </w:rPr>
            </w:pPr>
            <w:r>
              <w:rPr>
                <w:rFonts w:hAnsi="Times New Roman" w:cs="Times New Roman"/>
                <w:color w:val="000000"/>
                <w:sz w:val="24"/>
                <w:szCs w:val="24"/>
              </w:rPr>
              <w:t/>
            </w:r>
          </w:p>
        </w:tc>
      </w:tr>
    </w:tbl>
    <w:p>
      <w:pPr>
        <w:spacing w:line="240" w:lineRule="auto"/>
        <w:rPr>
          <w:rFonts w:hAnsi="Times New Roman" w:cs="Times New Roman"/>
          <w:color w:val="000000"/>
          <w:sz w:val="24"/>
          <w:szCs w:val="24"/>
        </w:rPr>
      </w:pPr>
      <w:r>
        <w:rPr>
          <w:rFonts w:hAnsi="Times New Roman" w:cs="Times New Roman"/>
          <w:color w:val="000000"/>
          <w:sz w:val="24"/>
          <w:szCs w:val="24"/>
        </w:rPr>
        <w:t>Примечания:</w:t>
      </w:r>
    </w:p>
    <w:p>
      <w:pPr>
        <w:spacing w:line="240" w:lineRule="auto"/>
        <w:rPr>
          <w:rFonts w:hAnsi="Times New Roman" w:cs="Times New Roman"/>
          <w:color w:val="000000"/>
          <w:sz w:val="24"/>
          <w:szCs w:val="24"/>
        </w:rPr>
      </w:pPr>
      <w:r>
        <w:rPr>
          <w:rFonts w:hAnsi="Times New Roman" w:cs="Times New Roman"/>
          <w:color w:val="000000"/>
          <w:sz w:val="24"/>
          <w:szCs w:val="24"/>
        </w:rPr>
        <w:t>* В строке «Остаток (перерасход (сальдо) денежных средств на финансирование текущего ремонта на 1 января отчетного периода» укажите остаток денежных средств на 1 января текущего отчетного периода:</w:t>
      </w:r>
      <w:r>
        <w:br/>
      </w:r>
      <w:r>
        <w:rPr>
          <w:rFonts w:hAnsi="Times New Roman" w:cs="Times New Roman"/>
          <w:color w:val="000000"/>
          <w:sz w:val="24"/>
          <w:szCs w:val="24"/>
        </w:rPr>
        <w:t>- со знаком «-» - если был перерасход;</w:t>
      </w:r>
      <w:r>
        <w:br/>
      </w:r>
      <w:r>
        <w:rPr>
          <w:rFonts w:hAnsi="Times New Roman" w:cs="Times New Roman"/>
          <w:color w:val="000000"/>
          <w:sz w:val="24"/>
          <w:szCs w:val="24"/>
        </w:rPr>
        <w:t>- со знаком «+» - если денежные средства</w:t>
      </w:r>
      <w:r>
        <w:br/>
      </w:r>
      <w:r>
        <w:rPr>
          <w:rFonts w:hAnsi="Times New Roman" w:cs="Times New Roman"/>
          <w:color w:val="000000"/>
          <w:sz w:val="24"/>
          <w:szCs w:val="24"/>
        </w:rPr>
        <w:t>не израсходованы полностью;</w:t>
      </w:r>
      <w:r>
        <w:br/>
      </w:r>
      <w:r>
        <w:rPr>
          <w:rFonts w:hAnsi="Times New Roman" w:cs="Times New Roman"/>
          <w:color w:val="000000"/>
          <w:sz w:val="24"/>
          <w:szCs w:val="24"/>
        </w:rPr>
        <w:t>- со значением «0» - если в размере платы за содержание жилого помещения не выделен размер платы за текущий ремонт общего имущества в МКД.</w:t>
      </w:r>
    </w:p>
    <w:p>
      <w:pPr>
        <w:spacing w:line="240" w:lineRule="auto"/>
        <w:rPr>
          <w:rFonts w:hAnsi="Times New Roman" w:cs="Times New Roman"/>
          <w:color w:val="000000"/>
          <w:sz w:val="24"/>
          <w:szCs w:val="24"/>
        </w:rPr>
      </w:pPr>
      <w:r>
        <w:rPr>
          <w:rFonts w:hAnsi="Times New Roman" w:cs="Times New Roman"/>
          <w:color w:val="000000"/>
          <w:sz w:val="24"/>
          <w:szCs w:val="24"/>
        </w:rPr>
        <w:t>** В строке «Общий объем денежных средств....» укажите общий объем денежных средств, подлежащий внесению собственниками помещений в МКД в отчетном периоде в качестве платы за текущий ремонт общего имущества в МКД в составе платы за содержание жилого помещения.</w:t>
      </w:r>
      <w:r>
        <w:br/>
      </w:r>
      <w:r>
        <w:rPr>
          <w:rFonts w:hAnsi="Times New Roman" w:cs="Times New Roman"/>
          <w:color w:val="000000"/>
          <w:sz w:val="24"/>
          <w:szCs w:val="24"/>
        </w:rPr>
        <w:t>Если в размере платы за содержание жилого помещения не выделен размер платы за текущий ремонт общего имущества в МКД, тогда в указанной строке указывается фактический объем денежных средств, израсходованный в отчетном периоде на финансирование работ по текущему ремонту общего имущества в МКД.</w:t>
      </w:r>
    </w:p>
    <w:p>
      <w:pPr>
        <w:spacing w:line="240" w:lineRule="auto"/>
        <w:rPr>
          <w:rFonts w:hAnsi="Times New Roman" w:cs="Times New Roman"/>
          <w:color w:val="000000"/>
          <w:sz w:val="24"/>
          <w:szCs w:val="24"/>
        </w:rPr>
      </w:pPr>
      <w:r>
        <w:rPr>
          <w:rFonts w:hAnsi="Times New Roman" w:cs="Times New Roman"/>
          <w:color w:val="000000"/>
          <w:sz w:val="24"/>
          <w:szCs w:val="24"/>
        </w:rPr>
        <w:t>*** В строке «Стоимость работ по текущему ремонту, выполненных за отчетный период» указывается фактический объем денежных средств, израсходованный 4 в отчетном периоде на финансирование работ по текущему ремонту общего имущества в МКД.</w:t>
      </w:r>
    </w:p>
    <w:p>
      <w:pPr>
        <w:spacing w:line="240" w:lineRule="auto"/>
        <w:rPr>
          <w:rFonts w:hAnsi="Times New Roman" w:cs="Times New Roman"/>
          <w:color w:val="000000"/>
          <w:sz w:val="24"/>
          <w:szCs w:val="24"/>
        </w:rPr>
      </w:pPr>
      <w:r>
        <w:rPr>
          <w:rFonts w:hAnsi="Times New Roman" w:cs="Times New Roman"/>
          <w:color w:val="000000"/>
          <w:sz w:val="24"/>
          <w:szCs w:val="24"/>
        </w:rPr>
        <w:t>****В строке «Остаток (перерасход (сальдо) денежных средств на финансирование текущего ремонта на 31 декабря отчетного периода» укажите остаток денежных средств по состоянию на 31 декабря отчетного периода, который должен быть равен сумме остатка (перерасхода) денежных средств на финансирование текущего ремонта на 1 января отчетного периода и общего объема денежных средств, подлежащих внесению собственниками помещений в МКД в отчетном периоде в качестве платы за текущий ремонт общего имущества МКД, за вычетом стоимости работ по текущему ремонту, выполненных за отчетный период.</w:t>
      </w:r>
      <w:r>
        <w:br/>
      </w:r>
      <w:r>
        <w:rPr>
          <w:rFonts w:hAnsi="Times New Roman" w:cs="Times New Roman"/>
          <w:color w:val="000000"/>
          <w:sz w:val="24"/>
          <w:szCs w:val="24"/>
        </w:rPr>
        <w:t>Значение укажите:</w:t>
      </w:r>
      <w:r>
        <w:br/>
      </w:r>
      <w:r>
        <w:rPr>
          <w:rFonts w:hAnsi="Times New Roman" w:cs="Times New Roman"/>
          <w:color w:val="000000"/>
          <w:sz w:val="24"/>
          <w:szCs w:val="24"/>
        </w:rPr>
        <w:t>- со знаком «-» - если был перерасход;</w:t>
      </w:r>
      <w:r>
        <w:br/>
      </w:r>
      <w:r>
        <w:rPr>
          <w:rFonts w:hAnsi="Times New Roman" w:cs="Times New Roman"/>
          <w:color w:val="000000"/>
          <w:sz w:val="24"/>
          <w:szCs w:val="24"/>
        </w:rPr>
        <w:t>- со знаком «+» - если денежные средства</w:t>
      </w:r>
      <w:r>
        <w:br/>
      </w:r>
      <w:r>
        <w:rPr>
          <w:rFonts w:hAnsi="Times New Roman" w:cs="Times New Roman"/>
          <w:color w:val="000000"/>
          <w:sz w:val="24"/>
          <w:szCs w:val="24"/>
        </w:rPr>
        <w:t>не израсходованы полностью;</w:t>
      </w:r>
      <w:r>
        <w:br/>
      </w:r>
      <w:r>
        <w:rPr>
          <w:rFonts w:hAnsi="Times New Roman" w:cs="Times New Roman"/>
          <w:color w:val="000000"/>
          <w:sz w:val="24"/>
          <w:szCs w:val="24"/>
        </w:rPr>
        <w:t>- со значением «0» - если в размере платы за содержание жилого помещения не выделен размер платы за текущий ремонт общего имущества в МКД.</w:t>
      </w:r>
    </w:p>
    <w:p>
      <w:pPr>
        <w:spacing w:line="240" w:lineRule="auto"/>
        <w:rPr>
          <w:rFonts w:hAnsi="Times New Roman" w:cs="Times New Roman"/>
          <w:color w:val="000000"/>
          <w:sz w:val="24"/>
          <w:szCs w:val="24"/>
        </w:rPr>
      </w:pPr>
      <w:r>
        <w:rPr>
          <w:rFonts w:hAnsi="Times New Roman" w:cs="Times New Roman"/>
          <w:b/>
          <w:bCs/>
          <w:color w:val="000000"/>
          <w:sz w:val="24"/>
          <w:szCs w:val="24"/>
        </w:rPr>
        <w:t>РАЗДЕЛ 3. Услуги по управлению МКД</w:t>
      </w:r>
    </w:p>
    <w:tbl>
      <w:tblPr>
        <w:tblW w:w="5000" w:type="pct"/>
        <w:tblCellMar>
          <w:top w:w="15" w:type="dxa"/>
          <w:left w:w="15" w:type="dxa"/>
          <w:bottom w:w="15" w:type="dxa"/>
          <w:right w:w="15" w:type="dxa"/>
        </w:tblCellMar>
        <w:tblLook w:val="0600"/>
      </w:tblPr>
      <w:tblGrid>
        <w:gridCol w:w="1440"/>
        <w:gridCol w:w="1440"/>
      </w:tblGrid>
      <w:tr>
        <w:trPr>
          <w:trHeight w:val="0"/>
        </w:trPr>
        <w:tc>
          <w:tcPr>
            <w:tcW w:w="5235" w:type="dxa"/>
            <w:gridSpan w:val="4"/>
            <w:tcMar>
              <w:top w:w="75" w:type="dxa"/>
              <w:left w:w="75" w:type="dxa"/>
              <w:bottom w:w="75" w:type="dxa"/>
              <w:right w:w="75" w:type="dxa"/>
            </w:tcMar>
            <w:vAlign w:val="bottom"/>
          </w:tcPr>
          <w:p>
            <w:r>
              <w:rPr>
                <w:rFonts w:hAnsi="Times New Roman" w:cs="Times New Roman"/>
                <w:color w:val="000000"/>
                <w:sz w:val="24"/>
                <w:szCs w:val="24"/>
              </w:rPr>
              <w:t>Стоимость услуг по управлению МКД, оказанных за 20</w:t>
            </w:r>
            <w:r>
              <w:rPr>
                <w:rFonts w:hAnsi="Times New Roman" w:cs="Times New Roman"/>
                <w:color w:val="000000"/>
                <w:sz w:val="24"/>
                <w:szCs w:val="24"/>
              </w:rPr>
              <w:t xml:space="preserve"> год</w:t>
            </w:r>
          </w:p>
        </w:tc>
        <w:tc>
          <w:tcPr>
            <w:tcW w:w="1263" w:type="dxa"/>
            <w:tcMar>
              <w:top w:w="75" w:type="dxa"/>
              <w:left w:w="75" w:type="dxa"/>
              <w:bottom w:w="75" w:type="dxa"/>
              <w:right w:w="75" w:type="dxa"/>
            </w:tcMar>
            <w:vAlign w:val="bottom"/>
          </w:tcPr>
          <w:p>
            <w:r>
              <w:rPr>
                <w:rFonts w:hAnsi="Times New Roman" w:cs="Times New Roman"/>
                <w:color w:val="000000"/>
                <w:sz w:val="24"/>
                <w:szCs w:val="24"/>
              </w:rPr>
              <w:t xml:space="preserve"> ₽</w:t>
            </w:r>
          </w:p>
        </w:tc>
      </w:tr>
    </w:tbl>
    <w:p>
      <w:pPr>
        <w:spacing w:line="240" w:lineRule="auto"/>
        <w:rPr>
          <w:rFonts w:hAnsi="Times New Roman" w:cs="Times New Roman"/>
          <w:color w:val="000000"/>
          <w:sz w:val="24"/>
          <w:szCs w:val="24"/>
        </w:rPr>
      </w:pPr>
      <w:r>
        <w:rPr>
          <w:rFonts w:hAnsi="Times New Roman" w:cs="Times New Roman"/>
          <w:b/>
          <w:bCs/>
          <w:color w:val="000000"/>
          <w:sz w:val="24"/>
          <w:szCs w:val="24"/>
        </w:rPr>
        <w:t>РАЗДЕЛ 4. Претензионно-исковая работа по взысканию задолженности</w:t>
      </w:r>
    </w:p>
    <w:tbl>
      <w:tblPr>
        <w:tblW w:w="5000" w:type="pct"/>
        <w:tblCellMar>
          <w:top w:w="15" w:type="dxa"/>
          <w:left w:w="15" w:type="dxa"/>
          <w:bottom w:w="15" w:type="dxa"/>
          <w:right w:w="15" w:type="dxa"/>
        </w:tblCellMar>
        <w:tblLook w:val="0600"/>
      </w:tblPr>
      <w:tblGrid>
        <w:gridCol w:w="1440"/>
        <w:gridCol w:w="1440"/>
        <w:gridCol w:w="1440"/>
        <w:gridCol w:w="1440"/>
      </w:tblGrid>
      <w:tr>
        <w:trPr>
          <w:trHeight w:val="0"/>
        </w:trPr>
        <w:tc>
          <w:tcPr>
            <w:tcW w:w="1173"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п/п</w:t>
            </w:r>
          </w:p>
        </w:tc>
        <w:tc>
          <w:tcPr>
            <w:tcW w:w="1354" w:type="dxa"/>
            <w:tcBorders>
              <w:top w:val="single" w:color="000000" w:sz="6"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Количество претензий</w:t>
            </w:r>
          </w:p>
        </w:tc>
        <w:tc>
          <w:tcPr>
            <w:tcW w:w="1534" w:type="dxa"/>
            <w:tcBorders>
              <w:top w:val="single" w:color="000000" w:sz="6"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Количество исков и судебных приказов</w:t>
            </w:r>
          </w:p>
        </w:tc>
        <w:tc>
          <w:tcPr>
            <w:tcW w:w="1083" w:type="dxa"/>
            <w:tcBorders>
              <w:top w:val="single" w:color="000000" w:sz="6"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Сумма поступлений (руб.)</w:t>
            </w:r>
          </w:p>
        </w:tc>
      </w:tr>
      <w:tr>
        <w:trPr>
          <w:trHeight w:val="0"/>
        </w:trPr>
        <w:tc>
          <w:tcPr>
            <w:tcW w:w="0" w:type="auto"/>
            <w:tcBorders>
              <w:top w:val="none" w:color="000000" w:sz="0"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1</w:t>
            </w:r>
          </w:p>
        </w:tc>
        <w:tc>
          <w:tcPr>
            <w:tcW w:w="0" w:type="auto"/>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2</w:t>
            </w:r>
          </w:p>
        </w:tc>
        <w:tc>
          <w:tcPr>
            <w:tcW w:w="0" w:type="auto"/>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3</w:t>
            </w:r>
          </w:p>
        </w:tc>
        <w:tc>
          <w:tcPr>
            <w:tcW w:w="0" w:type="auto"/>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4</w:t>
            </w:r>
          </w:p>
        </w:tc>
      </w:tr>
      <w:tr>
        <w:trPr>
          <w:trHeight w:val="0"/>
        </w:trPr>
        <w:tc>
          <w:tcPr>
            <w:tcW w:w="0" w:type="auto"/>
            <w:tcBorders>
              <w:top w:val="none" w:color="000000" w:sz="0"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1</w:t>
            </w:r>
          </w:p>
        </w:tc>
        <w:tc>
          <w:tcPr>
            <w:tcW w:w="0" w:type="auto"/>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tc>
        <w:tc>
          <w:tcPr>
            <w:tcW w:w="0" w:type="auto"/>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tc>
        <w:tc>
          <w:tcPr>
            <w:tcW w:w="0" w:type="auto"/>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w:t>
            </w:r>
          </w:p>
        </w:tc>
      </w:tr>
    </w:tbl>
    <w:p>
      <w:pPr>
        <w:spacing w:line="240" w:lineRule="auto"/>
        <w:rPr>
          <w:rFonts w:hAnsi="Times New Roman" w:cs="Times New Roman"/>
          <w:color w:val="000000"/>
          <w:sz w:val="24"/>
          <w:szCs w:val="24"/>
        </w:rPr>
      </w:pPr>
      <w:r>
        <w:rPr>
          <w:rFonts w:hAnsi="Times New Roman" w:cs="Times New Roman"/>
          <w:b/>
          <w:bCs/>
          <w:color w:val="000000"/>
          <w:sz w:val="24"/>
          <w:szCs w:val="24"/>
        </w:rPr>
        <w:t>РАЗДЕЛ 5. Начисления и поступления денежных средств за работы и услуги</w:t>
      </w:r>
    </w:p>
    <w:tbl>
      <w:tblPr>
        <w:tblW w:w="5000" w:type="pct"/>
        <w:tblCellMar>
          <w:top w:w="15" w:type="dxa"/>
          <w:left w:w="15" w:type="dxa"/>
          <w:bottom w:w="15" w:type="dxa"/>
          <w:right w:w="15" w:type="dxa"/>
        </w:tblCellMar>
        <w:tblLook w:val="0600"/>
      </w:tblPr>
      <w:tblGrid>
        <w:gridCol w:w="1440"/>
        <w:gridCol w:w="1440"/>
        <w:gridCol w:w="1440"/>
        <w:gridCol w:w="1440"/>
        <w:gridCol w:w="1440"/>
        <w:gridCol w:w="1440"/>
      </w:tblGrid>
      <w:tr>
        <w:trPr>
          <w:trHeight w:val="0"/>
        </w:trPr>
        <w:tc>
          <w:tcPr>
            <w:tcW w:w="451" w:type="dxa"/>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п/п</w:t>
            </w:r>
          </w:p>
        </w:tc>
        <w:tc>
          <w:tcPr>
            <w:tcW w:w="1624" w:type="dxa"/>
            <w:tcBorders>
              <w:top w:val="single" w:color="000000" w:sz="6"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Вид платежа</w:t>
            </w:r>
          </w:p>
        </w:tc>
        <w:tc>
          <w:tcPr>
            <w:tcW w:w="1444" w:type="dxa"/>
            <w:tcBorders>
              <w:top w:val="single" w:color="000000" w:sz="6"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Задолженность на 01.01.20</w:t>
            </w:r>
            <w:r>
              <w:rPr>
                <w:rFonts w:hAnsi="Times New Roman" w:cs="Times New Roman"/>
                <w:color w:val="000000"/>
                <w:sz w:val="24"/>
                <w:szCs w:val="24"/>
              </w:rPr>
              <w:t xml:space="preserve"> (руб.)</w:t>
            </w:r>
          </w:p>
        </w:tc>
        <w:tc>
          <w:tcPr>
            <w:tcW w:w="1715" w:type="dxa"/>
            <w:tcBorders>
              <w:top w:val="single" w:color="000000" w:sz="6"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Размер начислений (руб.)</w:t>
            </w:r>
          </w:p>
        </w:tc>
        <w:tc>
          <w:tcPr>
            <w:tcW w:w="1895" w:type="dxa"/>
            <w:tcBorders>
              <w:top w:val="single" w:color="000000" w:sz="6"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Размер поступлений (руб.)</w:t>
            </w:r>
          </w:p>
        </w:tc>
        <w:tc>
          <w:tcPr>
            <w:tcW w:w="1624" w:type="dxa"/>
            <w:tcBorders>
              <w:top w:val="single" w:color="000000" w:sz="6"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Задолженность на 31.12.20</w:t>
            </w:r>
            <w:r>
              <w:rPr>
                <w:rFonts w:hAnsi="Times New Roman" w:cs="Times New Roman"/>
                <w:color w:val="000000"/>
                <w:sz w:val="24"/>
                <w:szCs w:val="24"/>
              </w:rPr>
              <w:t xml:space="preserve"> (руб.)</w:t>
            </w:r>
          </w:p>
        </w:tc>
      </w:tr>
      <w:tr>
        <w:trPr>
          <w:trHeight w:val="0"/>
        </w:trPr>
        <w:tc>
          <w:tcPr>
            <w:tcW w:w="0" w:type="auto"/>
            <w:tcBorders>
              <w:top w:val="none" w:color="000000" w:sz="0"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1</w:t>
            </w:r>
          </w:p>
        </w:tc>
        <w:tc>
          <w:tcPr>
            <w:tcW w:w="162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2</w:t>
            </w:r>
          </w:p>
        </w:tc>
        <w:tc>
          <w:tcPr>
            <w:tcW w:w="144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3</w:t>
            </w:r>
          </w:p>
        </w:tc>
        <w:tc>
          <w:tcPr>
            <w:tcW w:w="1715"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4</w:t>
            </w:r>
          </w:p>
        </w:tc>
        <w:tc>
          <w:tcPr>
            <w:tcW w:w="1895"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5</w:t>
            </w:r>
          </w:p>
        </w:tc>
        <w:tc>
          <w:tcPr>
            <w:tcW w:w="162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6</w:t>
            </w:r>
          </w:p>
        </w:tc>
      </w:tr>
      <w:tr>
        <w:trPr>
          <w:trHeight w:val="0"/>
        </w:trPr>
        <w:tc>
          <w:tcPr>
            <w:tcW w:w="0" w:type="auto"/>
            <w:tcBorders>
              <w:top w:val="none" w:color="000000" w:sz="0"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1</w:t>
            </w:r>
          </w:p>
        </w:tc>
        <w:tc>
          <w:tcPr>
            <w:tcW w:w="162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Платежи собственников помещений в МКД</w:t>
            </w:r>
          </w:p>
        </w:tc>
        <w:tc>
          <w:tcPr>
            <w:tcW w:w="144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w:t>
            </w:r>
          </w:p>
        </w:tc>
        <w:tc>
          <w:tcPr>
            <w:tcW w:w="1715"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w:t>
            </w:r>
          </w:p>
        </w:tc>
        <w:tc>
          <w:tcPr>
            <w:tcW w:w="1895"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w:t>
            </w:r>
          </w:p>
        </w:tc>
        <w:tc>
          <w:tcPr>
            <w:tcW w:w="162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w:t>
            </w:r>
          </w:p>
        </w:tc>
      </w:tr>
      <w:tr>
        <w:trPr>
          <w:trHeight w:val="0"/>
        </w:trPr>
        <w:tc>
          <w:tcPr>
            <w:tcW w:w="0" w:type="auto"/>
            <w:tcBorders>
              <w:top w:val="none" w:color="000000" w:sz="0"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2</w:t>
            </w:r>
          </w:p>
        </w:tc>
        <w:tc>
          <w:tcPr>
            <w:tcW w:w="162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Платежи нанимателей помещений в МКД</w:t>
            </w:r>
          </w:p>
        </w:tc>
        <w:tc>
          <w:tcPr>
            <w:tcW w:w="144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w:t>
            </w:r>
          </w:p>
        </w:tc>
        <w:tc>
          <w:tcPr>
            <w:tcW w:w="1715"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w:t>
            </w:r>
          </w:p>
        </w:tc>
        <w:tc>
          <w:tcPr>
            <w:tcW w:w="1895"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w:t>
            </w:r>
          </w:p>
        </w:tc>
        <w:tc>
          <w:tcPr>
            <w:tcW w:w="162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w:t>
            </w:r>
          </w:p>
        </w:tc>
      </w:tr>
      <w:tr>
        <w:trPr>
          <w:trHeight w:val="0"/>
        </w:trPr>
        <w:tc>
          <w:tcPr>
            <w:tcW w:w="0" w:type="auto"/>
            <w:gridSpan w:val="2"/>
            <w:tcBorders>
              <w:top w:val="single" w:color="000000" w:sz="6" w:space="0"/>
              <w:left w:val="single" w:color="000000" w:sz="6"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b/>
                <w:bCs/>
                <w:color w:val="000000"/>
                <w:sz w:val="24"/>
                <w:szCs w:val="24"/>
              </w:rPr>
              <w:t>ИТОГО</w:t>
            </w:r>
          </w:p>
        </w:tc>
        <w:tc>
          <w:tcPr>
            <w:tcW w:w="144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w:t>
            </w:r>
          </w:p>
        </w:tc>
        <w:tc>
          <w:tcPr>
            <w:tcW w:w="1715"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w:t>
            </w:r>
          </w:p>
        </w:tc>
        <w:tc>
          <w:tcPr>
            <w:tcW w:w="1895"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w:t>
            </w:r>
          </w:p>
        </w:tc>
        <w:tc>
          <w:tcPr>
            <w:tcW w:w="1624" w:type="dxa"/>
            <w:tcBorders>
              <w:top w:val="none" w:color="000000" w:sz="0" w:space="0"/>
              <w:left w:val="none" w:color="000000" w:sz="0" w:space="0"/>
              <w:bottom w:val="single" w:color="000000" w:sz="6" w:space="0"/>
              <w:right w:val="single" w:color="000000" w:sz="6" w:space="0"/>
            </w:tcBorders>
            <w:tcMar>
              <w:top w:w="75" w:type="dxa"/>
              <w:left w:w="75" w:type="dxa"/>
              <w:bottom w:w="75" w:type="dxa"/>
              <w:right w:w="75" w:type="dxa"/>
            </w:tcMar>
            <w:vAlign w:val="bottom"/>
          </w:tcPr>
          <w:p>
            <w:r>
              <w:rPr>
                <w:rFonts w:hAnsi="Times New Roman" w:cs="Times New Roman"/>
                <w:color w:val="000000"/>
                <w:sz w:val="24"/>
                <w:szCs w:val="24"/>
              </w:rPr>
              <w:t xml:space="preserve"> ₽</w:t>
            </w:r>
          </w:p>
        </w:tc>
      </w:tr>
    </w:tbl>
    <w:p>
      <w:pPr>
        <w:spacing w:line="240" w:lineRule="auto"/>
        <w:rPr>
          <w:rFonts w:hAnsi="Times New Roman" w:cs="Times New Roman"/>
          <w:color w:val="000000"/>
          <w:sz w:val="24"/>
          <w:szCs w:val="24"/>
        </w:rPr>
      </w:pPr>
      <w:r>
        <w:rPr>
          <w:rFonts w:hAnsi="Times New Roman" w:cs="Times New Roman"/>
          <w:color w:val="000000"/>
          <w:sz w:val="24"/>
          <w:szCs w:val="24"/>
        </w:rPr>
        <w:t>Контрольное соотношение: Задолженность на конец = Задолженность на начало + Начисления - Поступления</w:t>
      </w:r>
    </w:p>
    <w:p>
      <w:pPr>
        <w:spacing w:line="240" w:lineRule="auto"/>
        <w:rPr>
          <w:rFonts w:hAnsi="Times New Roman" w:cs="Times New Roman"/>
          <w:color w:val="000000"/>
          <w:sz w:val="24"/>
          <w:szCs w:val="24"/>
        </w:rPr>
      </w:pPr>
      <w:r>
        <w:rPr>
          <w:rFonts w:hAnsi="Times New Roman" w:cs="Times New Roman"/>
          <w:color w:val="000000"/>
          <w:sz w:val="24"/>
          <w:szCs w:val="24"/>
        </w:rPr>
        <w:t xml:space="preserve">Собственники: </w:t>
      </w:r>
      <w:r>
        <w:rPr>
          <w:rFonts w:hAnsi="Times New Roman" w:cs="Times New Roman"/>
          <w:color w:val="000000"/>
          <w:sz w:val="24"/>
          <w:szCs w:val="24"/>
        </w:rPr>
        <w:t>__________________________</w:t>
      </w:r>
      <w:r>
        <w:rPr>
          <w:rFonts w:hAnsi="Times New Roman" w:cs="Times New Roman"/>
          <w:color w:val="000000"/>
          <w:sz w:val="24"/>
          <w:szCs w:val="24"/>
        </w:rPr>
        <w:t xml:space="preserve"> = </w:t>
      </w:r>
      <w:r>
        <w:rPr>
          <w:rFonts w:hAnsi="Times New Roman" w:cs="Times New Roman"/>
          <w:color w:val="000000"/>
          <w:sz w:val="24"/>
          <w:szCs w:val="24"/>
        </w:rPr>
        <w:t>______</w:t>
      </w:r>
    </w:p>
    <w:p>
      <w:pPr>
        <w:spacing w:line="240" w:lineRule="auto"/>
        <w:rPr>
          <w:rFonts w:hAnsi="Times New Roman" w:cs="Times New Roman"/>
          <w:color w:val="000000"/>
          <w:sz w:val="24"/>
          <w:szCs w:val="24"/>
        </w:rPr>
      </w:pPr>
      <w:r>
        <w:rPr>
          <w:rFonts w:hAnsi="Times New Roman" w:cs="Times New Roman"/>
          <w:color w:val="000000"/>
          <w:sz w:val="24"/>
          <w:szCs w:val="24"/>
        </w:rPr>
        <w:t xml:space="preserve">Наниматели: </w:t>
      </w:r>
      <w:r>
        <w:rPr>
          <w:rFonts w:hAnsi="Times New Roman" w:cs="Times New Roman"/>
          <w:color w:val="000000"/>
          <w:sz w:val="24"/>
          <w:szCs w:val="24"/>
        </w:rPr>
        <w:t>____________________</w:t>
      </w:r>
      <w:r>
        <w:rPr>
          <w:rFonts w:hAnsi="Times New Roman" w:cs="Times New Roman"/>
          <w:color w:val="000000"/>
          <w:sz w:val="24"/>
          <w:szCs w:val="24"/>
        </w:rPr>
        <w:t xml:space="preserve"> = </w:t>
      </w:r>
      <w:r>
        <w:rPr>
          <w:rFonts w:hAnsi="Times New Roman" w:cs="Times New Roman"/>
          <w:color w:val="000000"/>
          <w:sz w:val="24"/>
          <w:szCs w:val="24"/>
        </w:rPr>
        <w:t>____</w:t>
      </w:r>
    </w:p>
    <w:p>
      <w:pPr>
        <w:spacing w:line="240" w:lineRule="auto"/>
        <w:rPr>
          <w:rFonts w:hAnsi="Times New Roman" w:cs="Times New Roman"/>
          <w:color w:val="000000"/>
          <w:sz w:val="24"/>
          <w:szCs w:val="24"/>
        </w:rPr>
      </w:pPr>
      <w:r>
        <w:rPr>
          <w:rFonts w:hAnsi="Times New Roman" w:cs="Times New Roman"/>
          <w:color w:val="000000"/>
          <w:sz w:val="24"/>
          <w:szCs w:val="24"/>
        </w:rPr>
        <w:t xml:space="preserve">ИТОГО: </w:t>
      </w:r>
      <w:r>
        <w:rPr>
          <w:rFonts w:hAnsi="Times New Roman" w:cs="Times New Roman"/>
          <w:color w:val="000000"/>
          <w:sz w:val="24"/>
          <w:szCs w:val="24"/>
        </w:rPr>
        <w:t>__________________________</w:t>
      </w:r>
      <w:r>
        <w:rPr>
          <w:rFonts w:hAnsi="Times New Roman" w:cs="Times New Roman"/>
          <w:color w:val="000000"/>
          <w:sz w:val="24"/>
          <w:szCs w:val="24"/>
        </w:rPr>
        <w:t xml:space="preserve"> = </w:t>
      </w:r>
      <w:r>
        <w:rPr>
          <w:rFonts w:hAnsi="Times New Roman" w:cs="Times New Roman"/>
          <w:color w:val="000000"/>
          <w:sz w:val="24"/>
          <w:szCs w:val="24"/>
        </w:rPr>
        <w:t>______</w:t>
      </w:r>
    </w:p>
    <w:p>
      <w:pPr>
        <w:spacing w:line="240" w:lineRule="auto"/>
        <w:rPr>
          <w:rFonts w:hAnsi="Times New Roman" w:cs="Times New Roman"/>
          <w:color w:val="000000"/>
          <w:sz w:val="24"/>
          <w:szCs w:val="24"/>
        </w:rPr>
      </w:pPr>
      <w:r>
        <w:rPr>
          <w:rFonts w:hAnsi="Times New Roman" w:cs="Times New Roman"/>
          <w:color w:val="000000"/>
          <w:sz w:val="24"/>
          <w:szCs w:val="24"/>
        </w:rPr>
        <w:t>Примечания:</w:t>
      </w:r>
    </w:p>
    <w:p>
      <w:pPr>
        <w:spacing w:line="240" w:lineRule="auto"/>
        <w:rPr>
          <w:rFonts w:hAnsi="Times New Roman" w:cs="Times New Roman"/>
          <w:color w:val="000000"/>
          <w:sz w:val="24"/>
          <w:szCs w:val="24"/>
        </w:rPr>
      </w:pPr>
      <w:r>
        <w:rPr>
          <w:rFonts w:hAnsi="Times New Roman" w:cs="Times New Roman"/>
          <w:color w:val="000000"/>
          <w:sz w:val="24"/>
          <w:szCs w:val="24"/>
        </w:rPr>
        <w:t>* В столбце 4 укажите размер средств, начисленных к оплате собственникам и нанимателям за работы по содержанию и ремонту, а также за дополнительные работы. Без учета задолженности, указанной в столбце 3 таблицы.</w:t>
      </w:r>
    </w:p>
    <w:p>
      <w:pPr>
        <w:spacing w:line="240" w:lineRule="auto"/>
        <w:rPr>
          <w:rFonts w:hAnsi="Times New Roman" w:cs="Times New Roman"/>
          <w:color w:val="000000"/>
          <w:sz w:val="24"/>
          <w:szCs w:val="24"/>
        </w:rPr>
      </w:pPr>
      <w:r>
        <w:rPr>
          <w:rFonts w:hAnsi="Times New Roman" w:cs="Times New Roman"/>
          <w:color w:val="000000"/>
          <w:sz w:val="24"/>
          <w:szCs w:val="24"/>
        </w:rPr>
        <w:t>** В строке 2 укажите информацию о платежах нанимателей помещений в МКД. В случае установления платы за жилое помещение для нанимателей помещений в МКД в меньшем размере, чем плата за жилое помещение, установленная для собственников помещений в МКД, обязанность оплаты возникшей разницы возникает у наймодателя, сведения о расчетах с наймодателем учитываются в строке «Платежи собственников помещений в МКД».</w:t>
      </w:r>
    </w:p>
    <w:sectPr>
      <w:pgSz w:w="11907" w:h="16839"/>
      <w:pgMar w:top="1440" w:right="1440" w:bottom="1440" w:left="144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http://schemas.openxmlformats.org/wordprocessingml/2006/main"/>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CE"/>
    <w:rsid w:val="002D33B1"/>
    <w:rsid w:val="002D3591"/>
    <w:rsid w:val="003514A0"/>
    <w:rsid w:val="004F7E17"/>
    <w:rsid w:val="005A05CE"/>
    <w:rsid w:val="00653AF6"/>
    <w:rsid w:val="00B73A5A"/>
    <w:rsid w:val="00E438A1"/>
    <w:rsid w:val="00F0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240" w:lineRule="auto"/>
        <!--<w:spacing w:before="100" w:beforeAutospacing="1" w:after="100" w:afterAutospacing="1"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numbering" Target="/word/numbering.xml" Id="Rf4e11e0402a1401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Подготовлено экспертами Группы Актион</dc:description>
  <dcterms:created xsi:type="dcterms:W3CDTF">2011-11-02T04:15:00Z</dcterms:created>
  <dcterms:modified xsi:type="dcterms:W3CDTF">2012-05-05T09:54:00Z</dcterms:modified>
</cp:coreProperties>
</file>