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line="240" w:lineRule="auto"/>
        <w:rPr>
          <w:rFonts w:hAnsi="Times New Roman" w:cs="Times New Roman"/>
          <w:color w:val="000000"/>
          <w:sz w:val="24"/>
          <w:szCs w:val="24"/>
        </w:rPr>
      </w:pPr>
    </w:p>
    <w:p>
      <w:pPr>
        <w:spacing w:line="240" w:lineRule="auto"/>
        <w:jc w:val="center"/>
        <w:rPr>
          <w:rFonts w:hAnsi="Times New Roman" w:cs="Times New Roman"/>
          <w:color w:val="000000"/>
          <w:sz w:val="24"/>
          <w:szCs w:val="24"/>
        </w:rPr>
      </w:pPr>
      <w:r>
        <w:rPr>
          <w:rFonts w:hAnsi="Times New Roman" w:cs="Times New Roman"/>
          <w:b/>
          <w:bCs/>
          <w:color w:val="000000"/>
          <w:sz w:val="24"/>
          <w:szCs w:val="24"/>
        </w:rPr>
        <w:t xml:space="preserve">ДОПОЛНИТЕЛЬНОЕ СОГЛАШЕНИЕ № </w:t>
      </w:r>
      <w:r>
        <w:rPr>
          <w:rFonts w:hAnsi="Times New Roman" w:cs="Times New Roman"/>
          <w:b/>
          <w:bCs/>
          <w:color w:val="000000"/>
          <w:sz w:val="24"/>
          <w:szCs w:val="24"/>
        </w:rPr>
        <w:t>_</w:t>
      </w:r>
      <w:r>
        <w:br/>
      </w:r>
      <w:r>
        <w:rPr>
          <w:rFonts w:hAnsi="Times New Roman" w:cs="Times New Roman"/>
          <w:b/>
          <w:bCs/>
          <w:color w:val="000000"/>
          <w:sz w:val="24"/>
          <w:szCs w:val="24"/>
        </w:rPr>
        <w:t>к договору управления многоквартирным домом по адресу:</w:t>
      </w:r>
      <w:r>
        <w:br/>
      </w:r>
      <w:r>
        <w:rPr>
          <w:rFonts w:hAnsi="Times New Roman" w:cs="Times New Roman"/>
          <w:color w:val="000000"/>
          <w:sz w:val="24"/>
          <w:szCs w:val="24"/>
        </w:rPr>
        <w:t>___________________________________________________</w:t>
      </w:r>
    </w:p>
    <w:tbl>
      <w:tblPr>
        <w:tblW w:w="0" w:type="auto"/>
        <w:tblCellMar>
          <w:top w:w="15" w:type="dxa"/>
          <w:left w:w="15" w:type="dxa"/>
          <w:bottom w:w="15" w:type="dxa"/>
          <w:right w:w="15" w:type="dxa"/>
        </w:tblCellMar>
        <w:tblLook w:val="0600"/>
      </w:tblPr>
      <w:tblGrid>
        <w:gridCol w:w="1440"/>
        <w:gridCol w:w="1440"/>
      </w:tblGrid>
      <w:tr>
        <w:trPr>
          <w:trHeight w:val="0"/>
        </w:trPr>
        <w:tc>
          <w:tcPr>
            <w:tcW w:w="2888" w:type="dxa"/>
            <w:tcMar>
              <w:top w:w="75" w:type="dxa"/>
              <w:left w:w="75" w:type="dxa"/>
              <w:bottom w:w="75" w:type="dxa"/>
              <w:right w:w="75" w:type="dxa"/>
            </w:tcMar>
            <w:vAlign w:val="center"/>
          </w:tcPr>
          <w:p>
            <w:pPr>
              <w:spacing w:line="240" w:lineRule="auto"/>
              <w:rPr>
                <w:rFonts w:hAnsi="Times New Roman" w:cs="Times New Roman"/>
                <w:color w:val="000000"/>
                <w:sz w:val="24"/>
                <w:szCs w:val="24"/>
              </w:rPr>
            </w:pPr>
            <w:r>
              <w:rPr>
                <w:rFonts w:hAnsi="Times New Roman" w:cs="Times New Roman"/>
                <w:color w:val="000000"/>
                <w:sz w:val="24"/>
                <w:szCs w:val="24"/>
              </w:rPr>
              <w:t>_________</w:t>
            </w:r>
          </w:p>
        </w:tc>
        <w:tc>
          <w:tcPr>
            <w:tcW w:w="5957" w:type="dxa"/>
            <w:tcMar>
              <w:top w:w="75" w:type="dxa"/>
              <w:left w:w="75" w:type="dxa"/>
              <w:bottom w:w="75" w:type="dxa"/>
              <w:right w:w="75" w:type="dxa"/>
            </w:tcMar>
            <w:vAlign w:val="center"/>
          </w:tcPr>
          <w:p>
            <w:pPr>
              <w:spacing w:line="240" w:lineRule="auto"/>
              <w:rPr>
                <w:rFonts w:hAnsi="Times New Roman" w:cs="Times New Roman"/>
                <w:color w:val="000000"/>
                <w:sz w:val="24"/>
                <w:szCs w:val="24"/>
              </w:rPr>
            </w:pPr>
            <w:r>
              <w:rPr>
                <w:rFonts w:hAnsi="Times New Roman" w:cs="Times New Roman"/>
                <w:color w:val="000000"/>
                <w:sz w:val="24"/>
                <w:szCs w:val="24"/>
              </w:rPr>
              <w:t>__</w:t>
            </w:r>
            <w:r>
              <w:rPr>
                <w:rFonts w:hAnsi="Times New Roman" w:cs="Times New Roman"/>
                <w:color w:val="000000"/>
                <w:sz w:val="24"/>
                <w:szCs w:val="24"/>
              </w:rPr>
              <w:t> </w:t>
            </w:r>
            <w:r>
              <w:rPr>
                <w:rFonts w:hAnsi="Times New Roman" w:cs="Times New Roman"/>
                <w:color w:val="000000"/>
                <w:sz w:val="24"/>
                <w:szCs w:val="24"/>
              </w:rPr>
              <w:t>_______</w:t>
            </w:r>
            <w:r>
              <w:rPr>
                <w:rFonts w:hAnsi="Times New Roman" w:cs="Times New Roman"/>
                <w:color w:val="000000"/>
                <w:sz w:val="24"/>
                <w:szCs w:val="24"/>
              </w:rPr>
              <w:t> </w:t>
            </w:r>
            <w:r>
              <w:rPr>
                <w:rFonts w:hAnsi="Times New Roman" w:cs="Times New Roman"/>
                <w:color w:val="000000"/>
                <w:sz w:val="24"/>
                <w:szCs w:val="24"/>
              </w:rPr>
              <w:t>____</w:t>
            </w:r>
            <w:r>
              <w:rPr>
                <w:rFonts w:hAnsi="Times New Roman" w:cs="Times New Roman"/>
                <w:color w:val="000000"/>
                <w:sz w:val="24"/>
                <w:szCs w:val="24"/>
              </w:rPr>
              <w:t xml:space="preserve"> года</w:t>
            </w:r>
          </w:p>
        </w:tc>
      </w:tr>
    </w:tbl>
    <w:p>
      <w:pPr>
        <w:spacing w:line="240" w:lineRule="auto"/>
        <w:rPr>
          <w:rFonts w:hAnsi="Times New Roman" w:cs="Times New Roman"/>
          <w:color w:val="000000"/>
          <w:sz w:val="24"/>
          <w:szCs w:val="24"/>
        </w:rPr>
      </w:pPr>
      <w:r>
        <w:rPr>
          <w:rFonts w:hAnsi="Times New Roman" w:cs="Times New Roman"/>
          <w:color w:val="000000"/>
          <w:sz w:val="24"/>
          <w:szCs w:val="24"/>
        </w:rPr>
        <w:t>___________________________________________________</w:t>
      </w:r>
      <w:r>
        <w:rPr>
          <w:rFonts w:hAnsi="Times New Roman" w:cs="Times New Roman"/>
          <w:color w:val="000000"/>
          <w:sz w:val="24"/>
          <w:szCs w:val="24"/>
        </w:rPr>
        <w:t xml:space="preserve">, именуемое в дальнейшем «Управляющая организация», в лице генерального директора </w:t>
      </w:r>
      <w:r>
        <w:rPr>
          <w:rFonts w:hAnsi="Times New Roman" w:cs="Times New Roman"/>
          <w:color w:val="000000"/>
          <w:sz w:val="24"/>
          <w:szCs w:val="24"/>
        </w:rPr>
        <w:t>_______________________________</w:t>
      </w:r>
      <w:r>
        <w:rPr>
          <w:rFonts w:hAnsi="Times New Roman" w:cs="Times New Roman"/>
          <w:color w:val="000000"/>
          <w:sz w:val="24"/>
          <w:szCs w:val="24"/>
        </w:rPr>
        <w:t xml:space="preserve">, действующей на основании устава, с одной стороны и </w:t>
      </w:r>
      <w:r>
        <w:rPr>
          <w:rFonts w:hAnsi="Times New Roman" w:cs="Times New Roman"/>
          <w:color w:val="000000"/>
          <w:sz w:val="24"/>
          <w:szCs w:val="24"/>
        </w:rPr>
        <w:t>________________________</w:t>
      </w:r>
      <w:r>
        <w:rPr>
          <w:rFonts w:hAnsi="Times New Roman" w:cs="Times New Roman"/>
          <w:color w:val="000000"/>
          <w:sz w:val="24"/>
          <w:szCs w:val="24"/>
        </w:rPr>
        <w:t xml:space="preserve">, </w:t>
      </w:r>
      <w:r>
        <w:rPr>
          <w:rFonts w:hAnsi="Times New Roman" w:cs="Times New Roman"/>
          <w:color w:val="000000"/>
          <w:sz w:val="24"/>
          <w:szCs w:val="24"/>
        </w:rPr>
        <w:t>_________________________________________________________________________________________________________________________________________________</w:t>
      </w:r>
      <w:r>
        <w:rPr>
          <w:rFonts w:hAnsi="Times New Roman" w:cs="Times New Roman"/>
          <w:color w:val="000000"/>
          <w:sz w:val="24"/>
          <w:szCs w:val="24"/>
        </w:rPr>
        <w:t>, именуем</w:t>
      </w:r>
      <w:r>
        <w:rPr>
          <w:rFonts w:hAnsi="Times New Roman" w:cs="Times New Roman"/>
          <w:color w:val="000000"/>
          <w:sz w:val="24"/>
          <w:szCs w:val="24"/>
        </w:rPr>
        <w:t>__</w:t>
      </w:r>
      <w:r>
        <w:rPr>
          <w:rFonts w:hAnsi="Times New Roman" w:cs="Times New Roman"/>
          <w:color w:val="000000"/>
          <w:sz w:val="24"/>
          <w:szCs w:val="24"/>
        </w:rPr>
        <w:t xml:space="preserve"> в дальнейшем «Собственник», совместно именуемые в дальнейшем «Стороны», заключили настоящее дополнительное соглашение (далее – «соглашение») к договору управления многоквартирным домом по адресу: </w:t>
      </w:r>
      <w:r>
        <w:rPr>
          <w:rFonts w:hAnsi="Times New Roman" w:cs="Times New Roman"/>
          <w:color w:val="000000"/>
          <w:sz w:val="24"/>
          <w:szCs w:val="24"/>
        </w:rPr>
        <w:t>__________________________________________________</w:t>
      </w:r>
      <w:r>
        <w:rPr>
          <w:rFonts w:hAnsi="Times New Roman" w:cs="Times New Roman"/>
          <w:color w:val="000000"/>
          <w:sz w:val="24"/>
          <w:szCs w:val="24"/>
        </w:rPr>
        <w:t xml:space="preserve"> (далее – Договор) о нижеследующем.</w:t>
      </w:r>
    </w:p>
    <w:p>
      <w:pPr>
        <w:spacing w:line="240" w:lineRule="auto"/>
        <w:rPr>
          <w:rFonts w:hAnsi="Times New Roman" w:cs="Times New Roman"/>
          <w:color w:val="000000"/>
          <w:sz w:val="24"/>
          <w:szCs w:val="24"/>
        </w:rPr>
      </w:pPr>
      <w:r>
        <w:rPr>
          <w:rFonts w:hAnsi="Times New Roman" w:cs="Times New Roman"/>
          <w:color w:val="000000"/>
          <w:sz w:val="24"/>
          <w:szCs w:val="24"/>
        </w:rPr>
        <w:t>1. Принять пункты 4. – 4.6 договора в следующей редакции:</w:t>
      </w:r>
    </w:p>
    <w:p>
      <w:pPr>
        <w:spacing w:line="240" w:lineRule="auto"/>
        <w:rPr>
          <w:rFonts w:hAnsi="Times New Roman" w:cs="Times New Roman"/>
          <w:color w:val="000000"/>
          <w:sz w:val="24"/>
          <w:szCs w:val="24"/>
        </w:rPr>
      </w:pPr>
      <w:r>
        <w:rPr>
          <w:rFonts w:hAnsi="Times New Roman" w:cs="Times New Roman"/>
          <w:color w:val="000000"/>
          <w:sz w:val="24"/>
          <w:szCs w:val="24"/>
        </w:rPr>
        <w:t>«4. Расчет размер платы за содержание жилого помещения на срок действия договора управления многоквартирным домом, расположенным по адресу: г. Рязань, ул. Лесная, д. 5 определяется в следующем порядке:</w:t>
      </w:r>
    </w:p>
    <w:p>
      <w:pPr>
        <w:spacing w:line="240" w:lineRule="auto"/>
        <w:rPr>
          <w:rFonts w:hAnsi="Times New Roman" w:cs="Times New Roman"/>
          <w:color w:val="000000"/>
          <w:sz w:val="24"/>
          <w:szCs w:val="24"/>
        </w:rPr>
      </w:pPr>
      <w:r>
        <w:rPr>
          <w:rFonts w:hAnsi="Times New Roman" w:cs="Times New Roman"/>
          <w:color w:val="000000"/>
          <w:sz w:val="24"/>
          <w:szCs w:val="24"/>
        </w:rPr>
        <w:t>4.1. Размер платы за содержание жилого помещения на 2025</w:t>
      </w:r>
      <w:r>
        <w:rPr>
          <w:rFonts w:hAnsi="Times New Roman" w:cs="Times New Roman"/>
          <w:color w:val="000000"/>
          <w:sz w:val="24"/>
          <w:szCs w:val="24"/>
        </w:rPr>
        <w:t xml:space="preserve"> год установлен решением общего собрания собственников (протокол от 8 декабря 2024 года № 2) в размере 35 руб./м2 в том числе НДС 0,68 руб./м2 за 1 квадратный метр.</w:t>
      </w:r>
    </w:p>
    <w:p>
      <w:pPr>
        <w:spacing w:line="240" w:lineRule="auto"/>
        <w:rPr>
          <w:rFonts w:hAnsi="Times New Roman" w:cs="Times New Roman"/>
          <w:color w:val="000000"/>
          <w:sz w:val="24"/>
          <w:szCs w:val="24"/>
        </w:rPr>
      </w:pPr>
      <w:r>
        <w:rPr>
          <w:rFonts w:hAnsi="Times New Roman" w:cs="Times New Roman"/>
          <w:color w:val="000000"/>
          <w:sz w:val="24"/>
          <w:szCs w:val="24"/>
        </w:rPr>
        <w:t>Если на дату выставления платежного документа управляющая организация будет признана налогоплательщиком НДС и отгрузка (реализация) будет облагаться НДС, размер платы за содержание жилого помещения увеличивается на действующую на дату выставления платежного документа ставку НДС в соответствии со статьей 164 НК РФ.</w:t>
      </w:r>
    </w:p>
    <w:p>
      <w:pPr>
        <w:spacing w:line="240" w:lineRule="auto"/>
        <w:rPr>
          <w:rFonts w:hAnsi="Times New Roman" w:cs="Times New Roman"/>
          <w:color w:val="000000"/>
          <w:sz w:val="24"/>
          <w:szCs w:val="24"/>
        </w:rPr>
      </w:pPr>
      <w:r>
        <w:rPr>
          <w:rFonts w:hAnsi="Times New Roman" w:cs="Times New Roman"/>
          <w:color w:val="000000"/>
          <w:sz w:val="24"/>
          <w:szCs w:val="24"/>
        </w:rPr>
        <w:t>4.2. Размер платы за содержание жилого помещения может быть изменен решением общего собрания собственников.</w:t>
      </w:r>
    </w:p>
    <w:p>
      <w:pPr>
        <w:spacing w:line="240" w:lineRule="auto"/>
        <w:rPr>
          <w:rFonts w:hAnsi="Times New Roman" w:cs="Times New Roman"/>
          <w:color w:val="000000"/>
          <w:sz w:val="24"/>
          <w:szCs w:val="24"/>
        </w:rPr>
      </w:pPr>
      <w:r>
        <w:rPr>
          <w:rFonts w:hAnsi="Times New Roman" w:cs="Times New Roman"/>
          <w:color w:val="000000"/>
          <w:sz w:val="24"/>
          <w:szCs w:val="24"/>
        </w:rPr>
        <w:t>4.3. В случае</w:t>
      </w:r>
      <w:r>
        <w:rPr>
          <w:rFonts w:hAnsi="Times New Roman" w:cs="Times New Roman"/>
          <w:color w:val="000000"/>
          <w:sz w:val="24"/>
          <w:szCs w:val="24"/>
        </w:rPr>
        <w:t>, если за 60 дней до окончания очередного года действия договора управления не проведено общее собрание собственников или такое собрание признано не состоявшимся размер платы за содержание жилого помещения изменяется на очередной год действия договора управления с учетом видов услуг и(или) работ, необходимых к проведению в соответствии с нормами действующего законодательства, роста стоимости произведения этих видов работ на индекс потребительских цен, определяемый в прогнозе социально-экономического развития Российской Федерации на очередной финансовый год и плановый период, одобренном Правительством Российской Федерации (базовый вариант) с учетом изменений в законодательстве о налогах и сборах, по следующей формуле:</w:t>
      </w:r>
    </w:p>
    <w:p>
      <w:pPr>
        <w:spacing w:line="240" w:lineRule="auto"/>
        <w:rPr>
          <w:rFonts w:hAnsi="Times New Roman" w:cs="Times New Roman"/>
          <w:color w:val="000000"/>
          <w:sz w:val="24"/>
          <w:szCs w:val="24"/>
        </w:rPr>
      </w:pPr>
      <w:r>
        <w:rPr>
          <w:rFonts w:hAnsi="Times New Roman" w:cs="Times New Roman"/>
          <w:color w:val="000000"/>
          <w:sz w:val="24"/>
          <w:szCs w:val="24"/>
        </w:rPr>
        <w:t>РПi = РПi-1 * ИПЦi * (1+Сн/100)</w:t>
      </w:r>
    </w:p>
    <w:p>
      <w:pPr>
        <w:spacing w:line="240" w:lineRule="auto"/>
        <w:rPr>
          <w:rFonts w:hAnsi="Times New Roman" w:cs="Times New Roman"/>
          <w:color w:val="000000"/>
          <w:sz w:val="24"/>
          <w:szCs w:val="24"/>
        </w:rPr>
      </w:pPr>
      <w:r>
        <w:rPr>
          <w:rFonts w:hAnsi="Times New Roman" w:cs="Times New Roman"/>
          <w:color w:val="000000"/>
          <w:sz w:val="24"/>
          <w:szCs w:val="24"/>
        </w:rPr>
        <w:t>где:</w:t>
      </w:r>
    </w:p>
    <w:p>
      <w:pPr>
        <w:spacing w:line="240" w:lineRule="auto"/>
        <w:rPr>
          <w:rFonts w:hAnsi="Times New Roman" w:cs="Times New Roman"/>
          <w:color w:val="000000"/>
          <w:sz w:val="24"/>
          <w:szCs w:val="24"/>
        </w:rPr>
      </w:pPr>
      <w:r>
        <w:rPr>
          <w:rFonts w:hAnsi="Times New Roman" w:cs="Times New Roman"/>
          <w:color w:val="000000"/>
          <w:sz w:val="24"/>
          <w:szCs w:val="24"/>
        </w:rPr>
        <w:t>РПi – размер платы за содержание жилого помещения, рассчитываемый на очередной год действия договора управления (будущий год);</w:t>
      </w:r>
    </w:p>
    <w:p>
      <w:pPr>
        <w:spacing w:line="240" w:lineRule="auto"/>
        <w:rPr>
          <w:rFonts w:hAnsi="Times New Roman" w:cs="Times New Roman"/>
          <w:color w:val="000000"/>
          <w:sz w:val="24"/>
          <w:szCs w:val="24"/>
        </w:rPr>
      </w:pPr>
      <w:r>
        <w:rPr>
          <w:rFonts w:hAnsi="Times New Roman" w:cs="Times New Roman"/>
          <w:color w:val="000000"/>
          <w:sz w:val="24"/>
          <w:szCs w:val="24"/>
        </w:rPr>
        <w:t>РПi-1 – размер платы за содержание жилого помещения, действующий в текущем году;</w:t>
      </w:r>
    </w:p>
    <w:p>
      <w:pPr>
        <w:spacing w:line="240" w:lineRule="auto"/>
        <w:rPr>
          <w:rFonts w:hAnsi="Times New Roman" w:cs="Times New Roman"/>
          <w:color w:val="000000"/>
          <w:sz w:val="24"/>
          <w:szCs w:val="24"/>
        </w:rPr>
      </w:pPr>
      <w:r>
        <w:rPr>
          <w:rFonts w:hAnsi="Times New Roman" w:cs="Times New Roman"/>
          <w:color w:val="000000"/>
          <w:sz w:val="24"/>
          <w:szCs w:val="24"/>
        </w:rPr>
        <w:t>ИПЦi – индекс потребительских цен, определяемый в прогнозе социально-экономического развития Российской Федерации на очередной финансовый год и плановый период, одобренном Правительством Российской Федерации (базовый вариант);</w:t>
      </w:r>
    </w:p>
    <w:p>
      <w:pPr>
        <w:spacing w:line="240" w:lineRule="auto"/>
        <w:rPr>
          <w:rFonts w:hAnsi="Times New Roman" w:cs="Times New Roman"/>
          <w:color w:val="000000"/>
          <w:sz w:val="24"/>
          <w:szCs w:val="24"/>
        </w:rPr>
      </w:pPr>
      <w:r>
        <w:rPr>
          <w:rFonts w:hAnsi="Times New Roman" w:cs="Times New Roman"/>
          <w:color w:val="000000"/>
          <w:sz w:val="24"/>
          <w:szCs w:val="24"/>
        </w:rPr>
        <w:t>Сн –ставка налога на добавленную стоимость в соответствии с законодательством о налогах и сборах на дату выставление платежного документа, %</w:t>
      </w:r>
    </w:p>
    <w:p>
      <w:pPr>
        <w:spacing w:line="240" w:lineRule="auto"/>
        <w:rPr>
          <w:rFonts w:hAnsi="Times New Roman" w:cs="Times New Roman"/>
          <w:color w:val="000000"/>
          <w:sz w:val="24"/>
          <w:szCs w:val="24"/>
        </w:rPr>
      </w:pPr>
      <w:r>
        <w:rPr>
          <w:rFonts w:hAnsi="Times New Roman" w:cs="Times New Roman"/>
          <w:color w:val="000000"/>
          <w:sz w:val="24"/>
          <w:szCs w:val="24"/>
        </w:rPr>
        <w:t>4.4. Размер платы за жилое помещение, определенный в порядке п. 4.3 настоящего приложения, не может измениться более чем на 20%</w:t>
      </w:r>
      <w:r>
        <w:rPr>
          <w:rFonts w:hAnsi="Times New Roman" w:cs="Times New Roman"/>
          <w:color w:val="000000"/>
          <w:sz w:val="24"/>
          <w:szCs w:val="24"/>
        </w:rPr>
        <w:t>.</w:t>
      </w:r>
    </w:p>
    <w:p>
      <w:pPr>
        <w:spacing w:line="240" w:lineRule="auto"/>
        <w:rPr>
          <w:rFonts w:hAnsi="Times New Roman" w:cs="Times New Roman"/>
          <w:color w:val="000000"/>
          <w:sz w:val="24"/>
          <w:szCs w:val="24"/>
        </w:rPr>
      </w:pPr>
      <w:r>
        <w:rPr>
          <w:rFonts w:hAnsi="Times New Roman" w:cs="Times New Roman"/>
          <w:color w:val="000000"/>
          <w:sz w:val="24"/>
          <w:szCs w:val="24"/>
        </w:rPr>
        <w:t>4.5. Информация об измененном размере платы, перечне работ и услуг по управлению, содержанию и ремонту общего имущества многоквартирного дома, выполнение которого обеспечивает размер платы, определенный в порядке п.3 настоящего приложения, доводится управляющей организацией до сведения собственников за 30 дней до первого числа месяца, с которого вводится новый размер платы, путем размещения на обратной стороне квитанции на оплату за ЖКУ и(или) вывешивания на входных группах подъездов и(или) размещения в системе и(или) на досках объявлений).</w:t>
      </w:r>
    </w:p>
    <w:p>
      <w:pPr>
        <w:spacing w:line="240" w:lineRule="auto"/>
        <w:rPr>
          <w:rFonts w:hAnsi="Times New Roman" w:cs="Times New Roman"/>
          <w:color w:val="000000"/>
          <w:sz w:val="24"/>
          <w:szCs w:val="24"/>
        </w:rPr>
      </w:pPr>
      <w:r>
        <w:rPr>
          <w:rFonts w:hAnsi="Times New Roman" w:cs="Times New Roman"/>
          <w:color w:val="000000"/>
          <w:sz w:val="24"/>
          <w:szCs w:val="24"/>
        </w:rPr>
        <w:t>4.6. Размер расходов за коммунальные ресурсы при использовании и содержании общего имущества многоквартирного дома рассчитываются в соответствии со статьей 156 Жилищного кодекса, пунктами 29 – 29(3) Правил № 491.»</w:t>
      </w:r>
    </w:p>
    <w:p>
      <w:pPr>
        <w:spacing w:line="240" w:lineRule="auto"/>
        <w:rPr>
          <w:rFonts w:hAnsi="Times New Roman" w:cs="Times New Roman"/>
          <w:color w:val="000000"/>
          <w:sz w:val="24"/>
          <w:szCs w:val="24"/>
        </w:rPr>
      </w:pPr>
      <w:r>
        <w:rPr>
          <w:rFonts w:hAnsi="Times New Roman" w:cs="Times New Roman"/>
          <w:color w:val="000000"/>
          <w:sz w:val="24"/>
          <w:szCs w:val="24"/>
        </w:rPr>
        <w:t>2. Соглашение составлено в двух экземплярах, имеющих равную юридическую силу, вступает в силу с момента его подписания и является неотъемлемой частью договора.</w:t>
      </w:r>
    </w:p>
    <w:p>
      <w:pPr>
        <w:spacing w:line="240" w:lineRule="auto"/>
        <w:rPr>
          <w:rFonts w:hAnsi="Times New Roman" w:cs="Times New Roman"/>
          <w:color w:val="000000"/>
          <w:sz w:val="24"/>
          <w:szCs w:val="24"/>
        </w:rPr>
      </w:pPr>
      <w:r>
        <w:rPr>
          <w:rFonts w:hAnsi="Times New Roman" w:cs="Times New Roman"/>
          <w:color w:val="000000"/>
          <w:sz w:val="24"/>
          <w:szCs w:val="24"/>
        </w:rPr>
        <w:t>3. Во всем остальном Стороны руководствуются положениями договора управления многоквартирным домом.</w:t>
      </w:r>
    </w:p>
    <w:p>
      <w:pPr>
        <w:spacing w:line="240" w:lineRule="auto"/>
        <w:rPr>
          <w:rFonts w:hAnsi="Times New Roman" w:cs="Times New Roman"/>
          <w:color w:val="000000"/>
          <w:sz w:val="24"/>
          <w:szCs w:val="24"/>
        </w:rPr>
      </w:pPr>
      <w:r>
        <w:rPr>
          <w:rFonts w:hAnsi="Times New Roman" w:cs="Times New Roman"/>
          <w:color w:val="000000"/>
          <w:sz w:val="24"/>
          <w:szCs w:val="24"/>
        </w:rPr>
        <w:t>4. Подписи и реквизиты Сторон.</w:t>
      </w:r>
    </w:p>
    <w:tbl>
      <w:tblPr>
        <w:tblW w:w="8485" w:type="dxa"/>
        <w:tblCellMar>
          <w:top w:w="15" w:type="dxa"/>
          <w:left w:w="15" w:type="dxa"/>
          <w:bottom w:w="15" w:type="dxa"/>
          <w:right w:w="15" w:type="dxa"/>
        </w:tblCellMar>
        <w:tblLook w:val="0600"/>
      </w:tblPr>
      <w:tblGrid>
        <w:gridCol w:w="1440"/>
        <w:gridCol w:w="1440"/>
      </w:tblGrid>
      <w:tr>
        <w:trPr>
          <w:trHeight w:val="0"/>
        </w:trPr>
        <w:tc>
          <w:tcPr>
            <w:tcW w:w="3733" w:type="dxa"/>
            <w:tcMar>
              <w:top w:w="75" w:type="dxa"/>
              <w:left w:w="75" w:type="dxa"/>
              <w:bottom w:w="75" w:type="dxa"/>
              <w:right w:w="75" w:type="dxa"/>
            </w:tcMar>
            <w:vAlign w:val="center"/>
          </w:tcPr>
          <w:p>
            <w:pPr>
              <w:spacing w:line="240" w:lineRule="auto"/>
              <w:rPr>
                <w:rFonts w:hAnsi="Times New Roman" w:cs="Times New Roman"/>
                <w:color w:val="000000"/>
                <w:sz w:val="24"/>
                <w:szCs w:val="24"/>
              </w:rPr>
            </w:pPr>
            <w:r>
              <w:rPr>
                <w:rFonts w:hAnsi="Times New Roman" w:cs="Times New Roman"/>
                <w:b/>
                <w:bCs/>
                <w:color w:val="000000"/>
                <w:sz w:val="24"/>
                <w:szCs w:val="24"/>
              </w:rPr>
              <w:t>Управляющая организация:</w:t>
            </w:r>
          </w:p>
        </w:tc>
        <w:tc>
          <w:tcPr>
            <w:tcW w:w="0" w:type="auto"/>
            <w:tcMar>
              <w:top w:w="75" w:type="dxa"/>
              <w:left w:w="75" w:type="dxa"/>
              <w:bottom w:w="75" w:type="dxa"/>
              <w:right w:w="75" w:type="dxa"/>
            </w:tcMar>
            <w:vAlign w:val="center"/>
          </w:tcPr>
          <w:p>
            <w:pPr>
              <w:spacing w:line="240" w:lineRule="auto"/>
              <w:rPr>
                <w:rFonts w:hAnsi="Times New Roman" w:cs="Times New Roman"/>
                <w:color w:val="000000"/>
                <w:sz w:val="24"/>
                <w:szCs w:val="24"/>
              </w:rPr>
            </w:pPr>
            <w:r>
              <w:rPr>
                <w:rFonts w:hAnsi="Times New Roman" w:cs="Times New Roman"/>
                <w:b/>
                <w:bCs/>
                <w:color w:val="000000"/>
                <w:sz w:val="24"/>
                <w:szCs w:val="24"/>
              </w:rPr>
              <w:t>Собственник:</w:t>
            </w:r>
          </w:p>
        </w:tc>
      </w:tr>
      <w:tr>
        <w:trPr>
          <w:trHeight w:val="0"/>
        </w:trPr>
        <w:tc>
          <w:tcPr>
            <w:tcW w:w="3733" w:type="dxa"/>
            <w:tcMar>
              <w:top w:w="75" w:type="dxa"/>
              <w:left w:w="75" w:type="dxa"/>
              <w:bottom w:w="75" w:type="dxa"/>
              <w:right w:w="75" w:type="dxa"/>
            </w:tcMar>
            <w:vAlign w:val="center"/>
          </w:tcPr>
          <w:p>
            <w:pPr>
              <w:spacing w:line="240" w:lineRule="auto"/>
              <w:rPr>
                <w:rFonts w:hAnsi="Times New Roman" w:cs="Times New Roman"/>
                <w:color w:val="000000"/>
                <w:sz w:val="24"/>
                <w:szCs w:val="24"/>
              </w:rPr>
            </w:pPr>
            <w:r>
              <w:rPr>
                <w:rFonts w:hAnsi="Times New Roman" w:cs="Times New Roman"/>
                <w:color w:val="000000"/>
                <w:sz w:val="24"/>
                <w:szCs w:val="24"/>
              </w:rPr>
              <w:t>_____________________________________________________________________________________________________________________________________________</w:t>
            </w:r>
          </w:p>
        </w:tc>
        <w:tc>
          <w:tcPr>
            <w:tcW w:w="0" w:type="auto"/>
            <w:tcMar>
              <w:top w:w="75" w:type="dxa"/>
              <w:left w:w="75" w:type="dxa"/>
              <w:bottom w:w="75" w:type="dxa"/>
              <w:right w:w="75" w:type="dxa"/>
            </w:tcMar>
            <w:vAlign w:val="center"/>
          </w:tcPr>
          <w:p>
            <w:pPr>
              <w:spacing w:line="240" w:lineRule="auto"/>
              <w:rPr>
                <w:rFonts w:hAnsi="Times New Roman" w:cs="Times New Roman"/>
                <w:color w:val="000000"/>
                <w:sz w:val="24"/>
                <w:szCs w:val="24"/>
              </w:rPr>
            </w:pPr>
            <w:r>
              <w:rPr>
                <w:rFonts w:hAnsi="Times New Roman" w:cs="Times New Roman"/>
                <w:color w:val="000000"/>
                <w:sz w:val="24"/>
                <w:szCs w:val="24"/>
              </w:rPr>
              <w:t>__________________________________________________________________________________________________________________________________________________</w:t>
            </w:r>
          </w:p>
        </w:tc>
      </w:tr>
      <w:tr>
        <w:trPr>
          <w:trHeight w:val="0"/>
        </w:trPr>
        <w:tc>
          <w:tcPr>
            <w:tcW w:w="3733" w:type="dxa"/>
            <w:tcMar>
              <w:top w:w="75" w:type="dxa"/>
              <w:left w:w="75" w:type="dxa"/>
              <w:bottom w:w="75" w:type="dxa"/>
              <w:right w:w="75" w:type="dxa"/>
            </w:tcMar>
            <w:vAlign w:val="center"/>
          </w:tcPr>
          <w:p>
            <w:pPr>
              <w:spacing w:line="240" w:lineRule="auto"/>
              <w:rPr>
                <w:rFonts w:hAnsi="Times New Roman" w:cs="Times New Roman"/>
                <w:color w:val="000000"/>
                <w:sz w:val="24"/>
                <w:szCs w:val="24"/>
              </w:rPr>
            </w:pPr>
            <w:r>
              <w:rPr>
                <w:rFonts w:hAnsi="Times New Roman" w:cs="Times New Roman"/>
                <w:color w:val="000000"/>
                <w:sz w:val="24"/>
                <w:szCs w:val="24"/>
              </w:rPr>
              <w:t>______________________________________________</w:t>
            </w:r>
          </w:p>
          <w:p>
            <w:pPr>
              <w:spacing w:line="240" w:lineRule="auto"/>
              <w:rPr>
                <w:rFonts w:hAnsi="Times New Roman" w:cs="Times New Roman"/>
                <w:color w:val="000000"/>
                <w:sz w:val="24"/>
                <w:szCs w:val="24"/>
              </w:rPr>
            </w:pPr>
            <w:r>
              <w:rPr>
                <w:rFonts w:hAnsi="Times New Roman" w:cs="Times New Roman"/>
                <w:color w:val="000000"/>
                <w:sz w:val="24"/>
                <w:szCs w:val="24"/>
              </w:rPr>
              <w:t>М.П.</w:t>
            </w:r>
          </w:p>
        </w:tc>
        <w:tc>
          <w:tcPr>
            <w:tcW w:w="0" w:type="auto"/>
            <w:tcMar>
              <w:top w:w="75" w:type="dxa"/>
              <w:left w:w="75" w:type="dxa"/>
              <w:bottom w:w="75" w:type="dxa"/>
              <w:right w:w="75" w:type="dxa"/>
            </w:tcMar>
            <w:vAlign w:val="center"/>
          </w:tcPr>
          <w:p>
            <w:pPr>
              <w:spacing w:line="240" w:lineRule="auto"/>
              <w:rPr>
                <w:rFonts w:hAnsi="Times New Roman" w:cs="Times New Roman"/>
                <w:color w:val="000000"/>
                <w:sz w:val="24"/>
                <w:szCs w:val="24"/>
              </w:rPr>
            </w:pPr>
            <w:r>
              <w:rPr>
                <w:rFonts w:hAnsi="Times New Roman" w:cs="Times New Roman"/>
                <w:color w:val="000000"/>
                <w:sz w:val="24"/>
                <w:szCs w:val="24"/>
              </w:rPr>
              <w:t>_________________________________</w:t>
            </w:r>
          </w:p>
          <w:p>
            <w:pPr>
              <w:spacing w:line="240" w:lineRule="auto"/>
              <w:rPr>
                <w:rFonts w:hAnsi="Times New Roman" w:cs="Times New Roman"/>
                <w:color w:val="000000"/>
                <w:sz w:val="24"/>
                <w:szCs w:val="24"/>
              </w:rPr>
            </w:pPr>
            <w:r>
              <w:rPr>
                <w:rFonts w:hAnsi="Times New Roman" w:cs="Times New Roman"/>
                <w:color w:val="000000"/>
                <w:sz w:val="24"/>
                <w:szCs w:val="24"/>
              </w:rPr>
              <w:t/>
            </w:r>
          </w:p>
        </w:tc>
      </w:tr>
      <w:tr>
        <w:trPr>
          <w:trHeight w:val="0"/>
        </w:trPr>
        <w:tc>
          <w:tcPr>
            <w:tcW w:w="3733" w:type="dxa"/>
            <w:tcMar>
              <w:top w:w="75" w:type="dxa"/>
              <w:left w:w="75" w:type="dxa"/>
              <w:bottom w:w="75" w:type="dxa"/>
              <w:right w:w="75" w:type="dxa"/>
            </w:tcMar>
            <w:vAlign w:val="center"/>
          </w:tcPr>
          <w:p>
            <w:pPr>
              <w:spacing w:line="240" w:lineRule="auto"/>
              <w:rPr>
                <w:rFonts w:hAnsi="Times New Roman" w:cs="Times New Roman"/>
                <w:color w:val="000000"/>
                <w:sz w:val="24"/>
                <w:szCs w:val="24"/>
              </w:rPr>
            </w:pPr>
            <w:r>
              <w:rPr>
                <w:rFonts w:hAnsi="Times New Roman" w:cs="Times New Roman"/>
                <w:color w:val="000000"/>
                <w:sz w:val="24"/>
                <w:szCs w:val="24"/>
              </w:rPr>
              <w:t>__</w:t>
            </w:r>
            <w:r>
              <w:rPr>
                <w:rFonts w:hAnsi="Times New Roman" w:cs="Times New Roman"/>
                <w:color w:val="000000"/>
                <w:sz w:val="24"/>
                <w:szCs w:val="24"/>
              </w:rPr>
              <w:t> </w:t>
            </w:r>
            <w:r>
              <w:rPr>
                <w:rFonts w:hAnsi="Times New Roman" w:cs="Times New Roman"/>
                <w:color w:val="000000"/>
                <w:sz w:val="24"/>
                <w:szCs w:val="24"/>
              </w:rPr>
              <w:t>_______</w:t>
            </w:r>
            <w:r>
              <w:rPr>
                <w:rFonts w:hAnsi="Times New Roman" w:cs="Times New Roman"/>
                <w:color w:val="000000"/>
                <w:sz w:val="24"/>
                <w:szCs w:val="24"/>
              </w:rPr>
              <w:t> </w:t>
            </w:r>
            <w:r>
              <w:rPr>
                <w:rFonts w:hAnsi="Times New Roman" w:cs="Times New Roman"/>
                <w:color w:val="000000"/>
                <w:sz w:val="24"/>
                <w:szCs w:val="24"/>
              </w:rPr>
              <w:t>____</w:t>
            </w:r>
            <w:r>
              <w:rPr>
                <w:rFonts w:hAnsi="Times New Roman" w:cs="Times New Roman"/>
                <w:color w:val="000000"/>
                <w:sz w:val="24"/>
                <w:szCs w:val="24"/>
              </w:rPr>
              <w:t xml:space="preserve"> года</w:t>
            </w:r>
          </w:p>
        </w:tc>
        <w:tc>
          <w:tcPr>
            <w:tcW w:w="0" w:type="auto"/>
            <w:tcMar>
              <w:top w:w="75" w:type="dxa"/>
              <w:left w:w="75" w:type="dxa"/>
              <w:bottom w:w="75" w:type="dxa"/>
              <w:right w:w="75" w:type="dxa"/>
            </w:tcMar>
            <w:vAlign w:val="center"/>
          </w:tcPr>
          <w:p>
            <w:pPr>
              <w:spacing w:line="240" w:lineRule="auto"/>
              <w:rPr>
                <w:rFonts w:hAnsi="Times New Roman" w:cs="Times New Roman"/>
                <w:color w:val="000000"/>
                <w:sz w:val="24"/>
                <w:szCs w:val="24"/>
              </w:rPr>
            </w:pPr>
            <w:r>
              <w:rPr>
                <w:rFonts w:hAnsi="Times New Roman" w:cs="Times New Roman"/>
                <w:color w:val="000000"/>
                <w:sz w:val="24"/>
                <w:szCs w:val="24"/>
              </w:rPr>
              <w:t>__</w:t>
            </w:r>
            <w:r>
              <w:rPr>
                <w:rFonts w:hAnsi="Times New Roman" w:cs="Times New Roman"/>
                <w:color w:val="000000"/>
                <w:sz w:val="24"/>
                <w:szCs w:val="24"/>
              </w:rPr>
              <w:t> </w:t>
            </w:r>
            <w:r>
              <w:rPr>
                <w:rFonts w:hAnsi="Times New Roman" w:cs="Times New Roman"/>
                <w:color w:val="000000"/>
                <w:sz w:val="24"/>
                <w:szCs w:val="24"/>
              </w:rPr>
              <w:t>_______</w:t>
            </w:r>
            <w:r>
              <w:rPr>
                <w:rFonts w:hAnsi="Times New Roman" w:cs="Times New Roman"/>
                <w:color w:val="000000"/>
                <w:sz w:val="24"/>
                <w:szCs w:val="24"/>
              </w:rPr>
              <w:t> </w:t>
            </w:r>
            <w:r>
              <w:rPr>
                <w:rFonts w:hAnsi="Times New Roman" w:cs="Times New Roman"/>
                <w:color w:val="000000"/>
                <w:sz w:val="24"/>
                <w:szCs w:val="24"/>
              </w:rPr>
              <w:t>____</w:t>
            </w:r>
            <w:r>
              <w:rPr>
                <w:rFonts w:hAnsi="Times New Roman" w:cs="Times New Roman"/>
                <w:color w:val="000000"/>
                <w:sz w:val="24"/>
                <w:szCs w:val="24"/>
              </w:rPr>
              <w:t xml:space="preserve"> года</w:t>
            </w:r>
          </w:p>
        </w:tc>
      </w:tr>
    </w:tbl>
    <w:sectPr>
      <w:pgSz w:w="11907" w:h="16839"/>
      <w:pgMar w:top="1440" w:right="1440" w:bottom="1440" w:left="1440" w:header="720" w:footer="720"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http://schemas.openxmlformats.org/wordprocessingml/2006/main"/>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05CE"/>
    <w:rsid w:val="002D33B1"/>
    <w:rsid w:val="002D3591"/>
    <w:rsid w:val="003514A0"/>
    <w:rsid w:val="004F7E17"/>
    <w:rsid w:val="005A05CE"/>
    <w:rsid w:val="00653AF6"/>
    <w:rsid w:val="00B73A5A"/>
    <w:rsid w:val="00E438A1"/>
    <w:rsid w:val="00F01E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line="240" w:lineRule="auto"/>
        <!--<w:spacing w:before="100" w:beforeAutospacing="1" w:after="100" w:afterAutospacing="1" w:line="24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E17"/>
  </w:style>
  <w:style w:type="paragraph" w:styleId="Heading1">
    <w:name w:val="heading 1"/>
    <w:basedOn w:val="Normal"/>
    <w:next w:val="Normal"/>
    <w:link w:val="Heading1Char"/>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A5A"/>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E17"/>
    <w:pPr>
      <w:spacing w:before="100" w:beforeAutospacing="1" w:after="100" w:afterAutospacing="1" w:line="240" w:lineRule="auto"/>
    </w:pPr>
  </w:style>
  <w:style w:type="paragraph" w:styleId="Heading1">
    <w:name w:val="heading 1"/>
    <w:basedOn w:val="Normal"/>
    <w:next w:val="Normal"/>
    <w:link w:val="Heading1Char"/>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A5A"/>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microsoft.com/office/2007/relationships/stylesWithEffects" Target="stylesWithEffect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numbering" Target="/word/numbering.xml" Id="R6f84be3f8789475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description>Подготовлено экспертами Группы Актион</dc:description>
  <dcterms:created xsi:type="dcterms:W3CDTF">2011-11-02T04:15:00Z</dcterms:created>
  <dcterms:modified xsi:type="dcterms:W3CDTF">2012-05-05T09:54:00Z</dcterms:modified>
</cp:coreProperties>
</file>