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Реестр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членов товарищества собственников жилья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в многоквартирном доме,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расположенном по адресу: </w:t>
      </w: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Общие характеристики многоквартирного дома: количество квартир –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, общая площадь всех помещений – </w:t>
      </w:r>
      <w:r>
        <w:rPr>
          <w:rFonts w:hAnsi="Times New Roman" w:cs="Times New Roman"/>
          <w:color w:val="000000"/>
          <w:sz w:val="24"/>
          <w:szCs w:val="24"/>
        </w:rPr>
        <w:t>____</w:t>
      </w:r>
      <w:r>
        <w:rPr>
          <w:rFonts w:hAnsi="Times New Roman" w:cs="Times New Roman"/>
          <w:color w:val="000000"/>
          <w:sz w:val="24"/>
          <w:szCs w:val="24"/>
        </w:rPr>
        <w:t xml:space="preserve"> кв. м, количество собственников помещений –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 xml:space="preserve">, количество членов ТСЖ – </w:t>
      </w:r>
      <w:r>
        <w:rPr>
          <w:rFonts w:hAnsi="Times New Roman" w:cs="Times New Roman"/>
          <w:color w:val="000000"/>
          <w:sz w:val="24"/>
          <w:szCs w:val="24"/>
        </w:rPr>
        <w:t>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№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помещения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Ф. И. О. (наименование и ОГРН, ИНН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для юридического лица)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члена ТСЖ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, подтверждающий право собственности на помещение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Контактные данные членовТСЖ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Размер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доли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в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праве общей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собственности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 общее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имущество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 МКД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Подпись члена ТСЖ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</w:t>
            </w:r>
          </w:p>
        </w:tc>
        <w:tc>
          <w:tcPr>
            <w:tcW w:w="0" w:type="auto"/>
            <w:tcBorders>
              <w:top w:val="none" w:color="000000" w:sz="0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</w:t>
            </w: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Настоящий реестр составлен </w:t>
      </w:r>
      <w:r>
        <w:rPr>
          <w:rFonts w:hAnsi="Times New Roman" w:cs="Times New Roman"/>
          <w:color w:val="000000"/>
          <w:sz w:val="24"/>
          <w:szCs w:val="24"/>
        </w:rPr>
        <w:t>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Председатель правления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ТСЖ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0" w:type="auto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b3a04dffd19a4e0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