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Акт № 35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приемки-передачи технической и иной документации,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электронных кодов доступа к оборудованию,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материальных ценностей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по многоквартирному дому,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расположенному по адресу: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г. Москва, ул. Лесная, д. 69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г. Москва</w:t>
            </w:r>
          </w:p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«1» ноября 2022 года</w:t>
            </w:r>
          </w:p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Управляющая организация ООО «УК "Альфа"»</w:t>
      </w:r>
      <w:r>
        <w:rPr>
          <w:rFonts w:hAnsi="Times New Roman" w:cs="Times New Roman"/>
          <w:color w:val="000000"/>
          <w:sz w:val="24"/>
          <w:szCs w:val="24"/>
        </w:rPr>
        <w:t xml:space="preserve">, осуществлявшая управление многоквартирным домом, расположенным по адресу: </w:t>
      </w:r>
      <w:r>
        <w:rPr>
          <w:rFonts w:hAnsi="Times New Roman" w:cs="Times New Roman"/>
          <w:color w:val="000000"/>
          <w:sz w:val="24"/>
          <w:szCs w:val="24"/>
        </w:rPr>
        <w:t>г. Москва, ул. Лесная, д. 69</w:t>
      </w:r>
      <w:r>
        <w:rPr>
          <w:rFonts w:hAnsi="Times New Roman" w:cs="Times New Roman"/>
          <w:color w:val="000000"/>
          <w:sz w:val="24"/>
          <w:szCs w:val="24"/>
        </w:rPr>
        <w:t xml:space="preserve"> (далее – Многоквартирный дом), в лице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генерального директора А.В. Львова,</w:t>
      </w:r>
      <w:r>
        <w:rPr>
          <w:rFonts w:hAnsi="Times New Roman" w:cs="Times New Roman"/>
          <w:color w:val="000000"/>
          <w:sz w:val="24"/>
          <w:szCs w:val="24"/>
        </w:rPr>
        <w:t xml:space="preserve"> действующего на основании </w:t>
      </w:r>
      <w:r>
        <w:rPr>
          <w:rFonts w:hAnsi="Times New Roman" w:cs="Times New Roman"/>
          <w:color w:val="000000"/>
          <w:sz w:val="24"/>
          <w:szCs w:val="24"/>
        </w:rPr>
        <w:t>устава</w:t>
      </w:r>
      <w:r>
        <w:rPr>
          <w:rFonts w:hAnsi="Times New Roman" w:cs="Times New Roman"/>
          <w:color w:val="000000"/>
          <w:sz w:val="24"/>
          <w:szCs w:val="24"/>
        </w:rPr>
        <w:t xml:space="preserve">, передает, а вновь </w:t>
      </w:r>
      <w:r>
        <w:rPr>
          <w:rFonts w:hAnsi="Times New Roman" w:cs="Times New Roman"/>
          <w:color w:val="000000"/>
          <w:sz w:val="24"/>
          <w:szCs w:val="24"/>
        </w:rPr>
        <w:t>выбранная управляющая организация – ООО «Жилсервис»</w:t>
      </w:r>
      <w:r>
        <w:rPr>
          <w:rFonts w:hAnsi="Times New Roman" w:cs="Times New Roman"/>
          <w:color w:val="000000"/>
          <w:sz w:val="24"/>
          <w:szCs w:val="24"/>
        </w:rPr>
        <w:t xml:space="preserve">, выбранное на основании решения общего собрания собственников помещений в Многоквартирном доме (протокол общего собрания собственников </w:t>
      </w:r>
      <w:r>
        <w:rPr>
          <w:rFonts w:hAnsi="Times New Roman" w:cs="Times New Roman"/>
          <w:color w:val="000000"/>
          <w:sz w:val="24"/>
          <w:szCs w:val="24"/>
        </w:rPr>
        <w:t>от 30 октября 2022 года № 25</w:t>
      </w:r>
      <w:r>
        <w:rPr>
          <w:rFonts w:hAnsi="Times New Roman" w:cs="Times New Roman"/>
          <w:color w:val="000000"/>
          <w:sz w:val="24"/>
          <w:szCs w:val="24"/>
        </w:rPr>
        <w:t xml:space="preserve">), в лице </w:t>
      </w:r>
      <w:r>
        <w:rPr>
          <w:rFonts w:hAnsi="Times New Roman" w:cs="Times New Roman"/>
          <w:color w:val="000000"/>
          <w:sz w:val="24"/>
          <w:szCs w:val="24"/>
        </w:rPr>
        <w:t>генерального директора Е.Э. Громова</w:t>
      </w:r>
      <w:r>
        <w:rPr>
          <w:rFonts w:hAnsi="Times New Roman" w:cs="Times New Roman"/>
          <w:color w:val="000000"/>
          <w:sz w:val="24"/>
          <w:szCs w:val="24"/>
        </w:rPr>
        <w:t xml:space="preserve">, действующего на основании </w:t>
      </w:r>
      <w:r>
        <w:rPr>
          <w:rFonts w:hAnsi="Times New Roman" w:cs="Times New Roman"/>
          <w:color w:val="000000"/>
          <w:sz w:val="24"/>
          <w:szCs w:val="24"/>
        </w:rPr>
        <w:t>устава</w:t>
      </w:r>
      <w:r>
        <w:rPr>
          <w:rFonts w:hAnsi="Times New Roman" w:cs="Times New Roman"/>
          <w:color w:val="000000"/>
          <w:sz w:val="24"/>
          <w:szCs w:val="24"/>
        </w:rPr>
        <w:t>, принимает документы, связанные с управлением Многоквартирным домом, технические средства и оборудование в составе и количестве, указанных в таблицах 1 и 2.</w:t>
      </w:r>
    </w:p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Таблица 1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  <w:gridCol w:w="1440"/>
        <w:gridCol w:w="1440"/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№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0" w:type="auto"/>
            <w:vMerge w:val="restart"/>
            <w:tcBorders>
              <w:top w:val="single" w:color="000000" w:sz="6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0" w:type="auto"/>
            <w:gridSpan w:val="4"/>
            <w:tcBorders>
              <w:top w:val="single" w:color="000000" w:sz="6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Количество передаваемых документов</w:t>
            </w:r>
          </w:p>
        </w:tc>
        <w:tc>
          <w:tcPr>
            <w:tcW w:w="0" w:type="auto"/>
            <w:vMerge w:val="restart"/>
            <w:tcBorders>
              <w:top w:val="single" w:color="000000" w:sz="6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Сдал</w:t>
            </w:r>
          </w:p>
        </w:tc>
        <w:tc>
          <w:tcPr>
            <w:tcW w:w="0" w:type="auto"/>
            <w:vMerge w:val="restart"/>
            <w:tcBorders>
              <w:top w:val="single" w:color="000000" w:sz="6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Принял</w:t>
            </w:r>
          </w:p>
        </w:tc>
      </w:tr>
      <w:tr>
        <w:trPr>
          <w:trHeight w:val="0"/>
        </w:trPr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vMerge/>
            <w:tcBorders>
              <w:top w:val="single" w:color="000000" w:sz="6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оригинал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нотар. копия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оригинал. копия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ксеро-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копия</w:t>
            </w:r>
          </w:p>
        </w:tc>
        <w:tc>
          <w:tcPr>
            <w:tcW w:w="0" w:type="auto"/>
            <w:vMerge/>
            <w:tcBorders>
              <w:top w:val="single" w:color="000000" w:sz="6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vMerge/>
            <w:tcBorders>
              <w:top w:val="single" w:color="000000" w:sz="6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Техническая документация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1.1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Документация: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1.1.1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– технические паспорта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1.1.2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– экспликации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1.1.3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– поэтажные планы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1.4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Чертежи и схемы инженерных коммуникаций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1.5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Схемы механического оборудования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1.6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Схемы электрического оборудования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1.7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Схемы санитарно-технического оборудования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1.8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Схемы иного оборудования, обслуживающего более одного помещения в доме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1.9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Схемы и акты установки и приемки в эксплуатацию общедомовых приборов учета ресурсов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1.10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Акты об установке и принятии на учет индивидуальных приборов учета ресурсов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1.11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Паспорта на инженерное, электрическое, механическое, санитарно-техническое оборудование и др.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1.12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Акты разграничения эксплуатационной ответственности инженерных сетей электроснабжения, холодного и горячего водоснабжения, водоотведения, теплоснабжения, газоснабжения с ресурсоснабжающими организациями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1.13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Разрешение на присоединение мощности к сети энергоснабжающей организации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1.14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Отчеты о произведенных замерах сопротивления, изоляции и фазы-ноль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1.15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Распоряжения об утверждении актов госкомиссии (акты)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1.16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Акты приемки объектов, завершенных строительством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1.17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Распоряжение о вводе в эксплуатацию (правовой акт)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1.18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Исполнительная и проектная документация, предъявляемая приемочной комиссии, в соответствии с которой осуществлено строительство дома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1.19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Акты осмотра отдельных конструктивных элементов (крыши, ограждающих конструкций и т. д.), журнал осмотра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1.20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Градостроительный план земельного участка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1.21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Кадастровая карта земельного участка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1.22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Документы, в которых указываются содержание и сфера действия сервитута, с приложением заверенного соответствующей организацией (органом) по государственному учету объектов недвижимого имущества плана, на котором отмечена сфера (граница) действия сервитута, относящегося к части земельного участка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1.23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Паспорт домовладения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1.24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Документы (акты) о приемке результатов работ по капитальному ремонту общего имущества за последнее время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1.25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Документы (акты) о приемке результатов работ по текущему ремонту общего имущества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1.26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Акты освидетельствования скрытых работ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1.27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Протокол измерения шума и вибрации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Иная документация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2.1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Копии письменных заявлений, жалоб и предложений по вопросам качества содержания общего имущества в доме и предоставления коммунальных услуг, актуальные на дату передачи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2.2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Выписки из журналов (книг) учета заявлений, жалоб и предложений по вопросам качества содержания общего имущества в доме и предоставления коммунальных услуг, актуальные на дату передачи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2.3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Копии договоров с ресурсоснабжающими и прочими подрядными организациями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2.4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Копии договоров на аренду или на др. право на нежилое помещение в доме, кроме собственности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2.5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Копии договоров социального найма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2.6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Акты подготовки дома к сезонной эксплуатации, паспорта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2.7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Акты устранения замечаний и нарушений от жилищной инспекции, имеющихся до момента передачи дома в управление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2.8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Акты по передаче материальных ценностей, относящихся к общему имуществу дома (пожарные шланги, светильники, кожухи, аншлаги, номерные знаки, почтовые ящики, ключи от помещений общего пользования и пр.)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2.9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Перечень электронных кодов доступа к оборудованию, входящему в состав общего имущества многоквартирного дома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Таблица 2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Технические средства и оборудование, ключи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№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0" w:type="auto"/>
            <w:tcBorders>
              <w:top w:val="single" w:color="000000" w:sz="6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0" w:type="auto"/>
            <w:tcBorders>
              <w:top w:val="single" w:color="000000" w:sz="6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Количество </w:t>
            </w:r>
          </w:p>
        </w:tc>
        <w:tc>
          <w:tcPr>
            <w:tcW w:w="0" w:type="auto"/>
            <w:tcBorders>
              <w:top w:val="single" w:color="000000" w:sz="6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Сдал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Принял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Акт составлен на </w:t>
      </w:r>
      <w:r>
        <w:rPr>
          <w:rFonts w:hAnsi="Times New Roman" w:cs="Times New Roman"/>
          <w:color w:val="000000"/>
          <w:sz w:val="24"/>
          <w:szCs w:val="24"/>
        </w:rPr>
        <w:t xml:space="preserve">5 (пяти) </w:t>
      </w:r>
      <w:r>
        <w:rPr>
          <w:rFonts w:hAnsi="Times New Roman" w:cs="Times New Roman"/>
          <w:color w:val="000000"/>
          <w:sz w:val="24"/>
          <w:szCs w:val="24"/>
        </w:rPr>
        <w:t>листах.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Претензий у </w:t>
      </w:r>
      <w:r>
        <w:rPr>
          <w:rFonts w:hAnsi="Times New Roman" w:cs="Times New Roman"/>
          <w:color w:val="000000"/>
          <w:sz w:val="24"/>
          <w:szCs w:val="24"/>
        </w:rPr>
        <w:t xml:space="preserve">ООО «Жилсервис» </w:t>
      </w:r>
      <w:r>
        <w:rPr>
          <w:rFonts w:hAnsi="Times New Roman" w:cs="Times New Roman"/>
          <w:color w:val="000000"/>
          <w:sz w:val="24"/>
          <w:szCs w:val="24"/>
        </w:rPr>
        <w:t>к</w:t>
      </w:r>
      <w:r>
        <w:rPr>
          <w:rFonts w:hAnsi="Times New Roman" w:cs="Times New Roman"/>
          <w:color w:val="000000"/>
          <w:sz w:val="24"/>
          <w:szCs w:val="24"/>
        </w:rPr>
        <w:t xml:space="preserve"> ООО «УК "Альфа"»</w:t>
      </w:r>
      <w:r>
        <w:rPr>
          <w:rFonts w:hAnsi="Times New Roman" w:cs="Times New Roman"/>
          <w:color w:val="000000"/>
          <w:sz w:val="24"/>
          <w:szCs w:val="24"/>
        </w:rPr>
        <w:t xml:space="preserve"> по полноте, состоянию и срокам передачи документов, технических средств и оборудования </w:t>
      </w:r>
      <w:r>
        <w:rPr>
          <w:rFonts w:hAnsi="Times New Roman" w:cs="Times New Roman"/>
          <w:color w:val="000000"/>
          <w:sz w:val="24"/>
          <w:szCs w:val="24"/>
        </w:rPr>
        <w:t>не имеется.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Акт подписан в двух экземплярах – по одному для каждой из сторон.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Передающая сторона: _______________ </w:t>
      </w:r>
      <w:r>
        <w:rPr>
          <w:rFonts w:hAnsi="Times New Roman" w:cs="Times New Roman"/>
          <w:color w:val="000000"/>
          <w:sz w:val="24"/>
          <w:szCs w:val="24"/>
        </w:rPr>
        <w:t>А.В. Львов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Принимающая сторона: ________________ </w:t>
      </w:r>
      <w:r>
        <w:rPr>
          <w:rFonts w:hAnsi="Times New Roman" w:cs="Times New Roman"/>
          <w:color w:val="000000"/>
          <w:sz w:val="24"/>
          <w:szCs w:val="24"/>
        </w:rPr>
        <w:t>Е.Э. Громов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028a7266632e4e7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